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0A2540" w:color="auto" w:val="clear"/>
        <w:spacing w:after="40" w:line="320" w:lineRule="auto"/>
      </w:pPr>
      <w:r>
        <w:rPr>
          <w:b/>
          <w:bCs/>
          <w:color w:val="FFFFFF"/>
          <w:sz w:val="22"/>
          <w:szCs w:val="22"/>
          <w:rFonts w:ascii="Inter" w:cs="Inter" w:eastAsia="Inter" w:hAnsi="Inter"/>
          <w:spacing w:val="60"/>
        </w:rPr>
        <w:t xml:space="preserve">  IDEACEL  </w:t>
      </w:r>
    </w:p>
    <w:p>
      <w:pPr>
        <w:spacing w:before="360" w:after="160" w:line="240" w:lineRule="auto"/>
      </w:pPr>
      <w:r>
        <w:rPr>
          <w:b/>
          <w:bCs/>
          <w:color w:val="1A98DA"/>
          <w:sz w:val="17"/>
          <w:szCs w:val="17"/>
          <w:rFonts w:ascii="Inter" w:cs="Inter" w:eastAsia="Inter" w:hAnsi="Inter"/>
          <w:spacing w:val="40"/>
        </w:rPr>
        <w:t xml:space="preserve">PROPOSAL  ·  VERSION 1</w:t>
      </w:r>
    </w:p>
    <w:p>
      <w:pPr>
        <w:spacing w:after="160" w:line="264" w:lineRule="auto"/>
      </w:pPr>
      <w:r>
        <w:rPr>
          <w:b/>
          <w:bCs/>
          <w:color w:val="0A2540"/>
          <w:sz w:val="52"/>
          <w:szCs w:val="52"/>
          <w:rFonts w:ascii="Inter" w:cs="Inter" w:eastAsia="Inter" w:hAnsi="Inter"/>
        </w:rPr>
        <w:t xml:space="preserve">Ford KEN: Calibrate, Measure, Optimise</w:t>
      </w:r>
    </w:p>
    <w:p>
      <w:pPr>
        <w:spacing w:after="340" w:line="280" w:lineRule="auto"/>
      </w:pPr>
      <w:r>
        <w:rPr>
          <w:color w:val="5B7186"/>
          <w:sz w:val="24"/>
          <w:szCs w:val="24"/>
          <w:rFonts w:ascii="Inter" w:cs="Inter" w:eastAsia="Inter" w:hAnsi="Inter"/>
        </w:rPr>
        <w:t xml:space="preserve">Prepared for Ford</w:t>
      </w:r>
    </w:p>
    <w:p>
      <w:pPr>
        <w:pBdr>
          <w:bottom w:val="single" w:color="D5E6F2" w:sz="6" w:space="6"/>
        </w:pBdr>
        <w:spacing w:after="220"/>
      </w:pPr>
    </w:p>
    <w:tbl>
      <w:tblPr>
        <w:tblW w:type="dxa" w:w="8504"/>
        <w:tblBorders>
          <w:top w:val="none"/>
          <w:left w:val="none"/>
          <w:bottom w:val="none"/>
          <w:right w:val="none"/>
          <w:insideH w:val="single" w:color="D5E6F2" w:sz="2"/>
          <w:insideV w:val="none"/>
        </w:tblBorders>
        <w:tblCellMar>
          <w:top w:type="dxa" w:w="90"/>
          <w:left w:type="dxa" w:w="120"/>
          <w:bottom w:type="dxa" w:w="90"/>
          <w:right w:type="dxa" w:w="120"/>
        </w:tblCellMar>
      </w:tblPr>
      <w:tblGrid>
        <w:gridCol w:w="2721"/>
        <w:gridCol w:w="5783"/>
      </w:tblGrid>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Prepared for</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Ford</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Prepared by</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IDEACEL</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Dated</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19 August 2026</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Term</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12 months</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Total</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$150,000.00</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20"/>
                <w:szCs w:val="20"/>
                <w:rFonts w:ascii="Inter" w:cs="Inter" w:eastAsia="Inter" w:hAnsi="Inter"/>
              </w:rPr>
              <w:t xml:space="preserve">Reference</w:t>
            </w:r>
          </w:p>
        </w:tc>
        <w:tc>
          <w:tcPr>
            <w:tcW w:type="dxa" w:w="5783"/>
            <w:tcMar>
              <w:top w:type="dxa" w:w="90"/>
              <w:left w:type="dxa" w:w="120"/>
              <w:bottom w:type="dxa" w:w="90"/>
              <w:right w:type="dxa" w:w="120"/>
            </w:tcMar>
          </w:tcPr>
          <w:p>
            <w:pPr>
              <w:spacing w:line="260" w:lineRule="auto"/>
              <w:jc w:val="left"/>
            </w:pPr>
            <w:r>
              <w:rPr>
                <w:b/>
                <w:bCs/>
                <w:color w:val="1F2D3D"/>
                <w:sz w:val="20"/>
                <w:szCs w:val="20"/>
                <w:rFonts w:ascii="Inter" w:cs="Inter" w:eastAsia="Inter" w:hAnsi="Inter"/>
              </w:rPr>
              <w:t xml:space="preserve">PROP-b2378486-V1</w:t>
            </w:r>
          </w:p>
        </w:tc>
      </w:tr>
    </w:tbl>
    <w:p>
      <w:pPr>
        <w:spacing w:before="260" w:line="260" w:lineRule="auto"/>
      </w:pPr>
      <w:r>
        <w:rPr>
          <w:i/>
          <w:iCs/>
          <w:color w:val="5B7186"/>
          <w:sz w:val="17"/>
          <w:szCs w:val="17"/>
          <w:rFonts w:ascii="Inter" w:cs="Inter" w:eastAsia="Inter" w:hAnsi="Inter"/>
        </w:rPr>
        <w:t xml:space="preserve">Commercial in confidence. Every price in this document is indicative and carries its origin on the last page.</w:t>
      </w:r>
    </w:p>
    <w:p>
      <w:r>
        <w:br w:type="page"/>
      </w:r>
    </w:p>
    <w:p>
      <w:pPr>
        <w:pStyle w:val="Heading1"/>
        <w:keepNext/>
        <w:keepLines/>
        <w:spacing w:before="400" w:after="160" w:line="260" w:lineRule="auto"/>
      </w:pPr>
      <w:r>
        <w:rPr>
          <w:b/>
          <w:bCs/>
          <w:color w:val="0A2540"/>
          <w:sz w:val="28"/>
          <w:szCs w:val="28"/>
          <w:rFonts w:ascii="Inter" w:cs="Inter" w:eastAsia="Inter" w:hAnsi="Inter"/>
        </w:rPr>
        <w:t xml:space="preserve">The offer</w:t>
      </w:r>
    </w:p>
    <w:p>
      <w:pPr>
        <w:widowControl/>
        <w:spacing w:after="140" w:line="290" w:lineRule="auto"/>
      </w:pPr>
      <w:r>
        <w:rPr>
          <w:i w:val="false"/>
          <w:iCs w:val="false"/>
          <w:color w:val="1F2D3D"/>
          <w:sz w:val="21"/>
          <w:szCs w:val="21"/>
          <w:rFonts w:ascii="Inter" w:cs="Inter" w:eastAsia="Inter" w:hAnsi="Inter"/>
        </w:rPr>
        <w:t xml:space="preserve">Ford’s current strategy pre-empts buyers with a same-day test-drive offer, but the activation budget is uncalibrated and the conversion path is not measured. We propose KEN to turn this into a closed-loop system: (1) Calibrate the in-market rate to Ford’s own buyers, so you know exactly how many are ready to buy this quarter. (2) Move the 60/40 brand-activation split from doctrine to Ford’s own data, so every dollar is spent where it works hardest. (3) Measure the test-drive conversion path in real time, so you can optimise the offer and the creative without waiting for dealer reports. This will lift in-store conversion from the category proxy of 6 percent (Urban Science, reported via Demand Local) to a measured Ford number, and cut cost per sale by reallocating spend to the channels that drive the most test drives. The work starts with a one-day calibration workshop on 2026-09-15, and the first live numbers are in your dashboard by 2026-10-01. No unapproved discount is applied; the proposal is priced at catalogue rates.</w:t>
      </w:r>
    </w:p>
    <w:p>
      <w:pPr>
        <w:pStyle w:val="Heading1"/>
        <w:keepNext/>
        <w:keepLines/>
        <w:spacing w:before="400" w:after="160" w:line="260" w:lineRule="auto"/>
      </w:pPr>
      <w:r>
        <w:rPr>
          <w:b/>
          <w:bCs/>
          <w:color w:val="0A2540"/>
          <w:sz w:val="28"/>
          <w:szCs w:val="28"/>
          <w:rFonts w:ascii="Inter" w:cs="Inter" w:eastAsia="Inter" w:hAnsi="Inter"/>
        </w:rPr>
        <w:t xml:space="preserve">Where you are</w:t>
      </w:r>
    </w:p>
    <w:p>
      <w:pPr>
        <w:pStyle w:val="ListParagraph"/>
        <w:widowControl/>
        <w:numPr>
          <w:ilvl w:val="0"/>
          <w:numId w:val="2"/>
        </w:numPr>
        <w:spacing w:after="90" w:line="285" w:lineRule="auto"/>
      </w:pPr>
      <w:r>
        <w:rPr>
          <w:color w:val="1F2D3D"/>
          <w:sz w:val="21"/>
          <w:szCs w:val="21"/>
          <w:rFonts w:ascii="Inter" w:cs="Inter" w:eastAsia="Inter" w:hAnsi="Inter"/>
        </w:rPr>
        <w:t xml:space="preserve">In market rate. The category proxy for in-market rate is 5 percent (summitpartners.com), but Ford’s own rate is still calibrating. The value in play is the proxy, not a measurement of Ford’s buyers.</w:t>
      </w:r>
    </w:p>
    <w:p>
      <w:pPr>
        <w:pStyle w:val="ListParagraph"/>
        <w:widowControl/>
        <w:numPr>
          <w:ilvl w:val="0"/>
          <w:numId w:val="2"/>
        </w:numPr>
        <w:spacing w:after="90" w:line="285" w:lineRule="auto"/>
      </w:pPr>
      <w:r>
        <w:rPr>
          <w:color w:val="1F2D3D"/>
          <w:sz w:val="21"/>
          <w:szCs w:val="21"/>
          <w:rFonts w:ascii="Inter" w:cs="Inter" w:eastAsia="Inter" w:hAnsi="Inter"/>
        </w:rPr>
        <w:t xml:space="preserve">Conversion path. The category proxy for in-store conversion from digital is 6 percent (Urban Science, reported via Demand Local), but Ford’s own path is not measured. The test-drive offer is gated behind a same-day appointment guarantee, but the conversion rate from invitation to test drive is unknown.</w:t>
      </w:r>
    </w:p>
    <w:p>
      <w:pPr>
        <w:pStyle w:val="ListParagraph"/>
        <w:widowControl/>
        <w:numPr>
          <w:ilvl w:val="0"/>
          <w:numId w:val="2"/>
        </w:numPr>
        <w:spacing w:after="90" w:line="285" w:lineRule="auto"/>
      </w:pPr>
      <w:r>
        <w:rPr>
          <w:color w:val="1F2D3D"/>
          <w:sz w:val="21"/>
          <w:szCs w:val="21"/>
          <w:rFonts w:ascii="Inter" w:cs="Inter" w:eastAsia="Inter" w:hAnsi="Inter"/>
        </w:rPr>
        <w:t xml:space="preserve">Current strategy. Ford’s active strategy shifts 50 percent of the USD 4,000,000 budget into activation, funding paid search and CTV that serve the test-drive invitation the moment the buyer types 'safe family SUV' or 'best EV for new drivers'. The offer is the test drive, not the car, and the creative shows the buyer in the driver’s seat, not the vehicle specs (strategy run 51aedaeb-6b6c-4e2b-a315-349050f1c488).</w:t>
      </w:r>
    </w:p>
    <w:p>
      <w:pPr>
        <w:pStyle w:val="ListParagraph"/>
        <w:widowControl/>
        <w:numPr>
          <w:ilvl w:val="0"/>
          <w:numId w:val="2"/>
        </w:numPr>
        <w:spacing w:after="90" w:line="285" w:lineRule="auto"/>
      </w:pPr>
      <w:r>
        <w:rPr>
          <w:color w:val="1F2D3D"/>
          <w:sz w:val="21"/>
          <w:szCs w:val="21"/>
          <w:rFonts w:ascii="Inter" w:cs="Inter" w:eastAsia="Inter" w:hAnsi="Inter"/>
        </w:rPr>
        <w:t xml:space="preserve">Brand activation split. The category proxy for brand to activation split is 60/40 (deepmarketing.it), but Ford’s own split is not calibrated. The current strategy shifts 50 percent of the budget into activation, which is inside the tolerance band of the 60/40 rule (RULE-BRAND-ACTIVATION-6040).</w:t>
      </w:r>
    </w:p>
    <w:p>
      <w:pPr>
        <w:pStyle w:val="Heading1"/>
        <w:keepNext/>
        <w:keepLines/>
        <w:spacing w:before="400" w:after="160" w:line="260" w:lineRule="auto"/>
      </w:pPr>
      <w:r>
        <w:rPr>
          <w:b/>
          <w:bCs/>
          <w:color w:val="0A2540"/>
          <w:sz w:val="28"/>
          <w:szCs w:val="28"/>
          <w:rFonts w:ascii="Inter" w:cs="Inter" w:eastAsia="Inter" w:hAnsi="Inter"/>
        </w:rPr>
        <w:t xml:space="preserve">What changes</w:t>
      </w:r>
    </w:p>
    <w:p>
      <w:pPr>
        <w:pStyle w:val="ListParagraph"/>
        <w:widowControl/>
        <w:numPr>
          <w:ilvl w:val="0"/>
          <w:numId w:val="2"/>
        </w:numPr>
        <w:spacing w:after="90" w:line="285" w:lineRule="auto"/>
      </w:pPr>
      <w:r>
        <w:rPr>
          <w:color w:val="1F2D3D"/>
          <w:sz w:val="21"/>
          <w:szCs w:val="21"/>
          <w:rFonts w:ascii="Inter" w:cs="Inter" w:eastAsia="Inter" w:hAnsi="Inter"/>
        </w:rPr>
        <w:t xml:space="preserve">In market rate. Ford’s in-market rate moves from the category proxy of 5 percent to a measured Ford number, so you know exactly how many buyers are ready to buy this quarter.</w:t>
      </w:r>
    </w:p>
    <w:p>
      <w:pPr>
        <w:pStyle w:val="ListParagraph"/>
        <w:widowControl/>
        <w:numPr>
          <w:ilvl w:val="0"/>
          <w:numId w:val="2"/>
        </w:numPr>
        <w:spacing w:after="90" w:line="285" w:lineRule="auto"/>
      </w:pPr>
      <w:r>
        <w:rPr>
          <w:color w:val="1F2D3D"/>
          <w:sz w:val="21"/>
          <w:szCs w:val="21"/>
          <w:rFonts w:ascii="Inter" w:cs="Inter" w:eastAsia="Inter" w:hAnsi="Inter"/>
        </w:rPr>
        <w:t xml:space="preserve">Conversion path. The test-drive conversion path is measured in real time, so you can optimise the offer and the creative without waiting for dealer reports. In-store conversion lifts from the category proxy of 6 percent to a measured Ford number.</w:t>
      </w:r>
    </w:p>
    <w:p>
      <w:pPr>
        <w:pStyle w:val="ListParagraph"/>
        <w:widowControl/>
        <w:numPr>
          <w:ilvl w:val="0"/>
          <w:numId w:val="2"/>
        </w:numPr>
        <w:spacing w:after="90" w:line="285" w:lineRule="auto"/>
      </w:pPr>
      <w:r>
        <w:rPr>
          <w:color w:val="1F2D3D"/>
          <w:sz w:val="21"/>
          <w:szCs w:val="21"/>
          <w:rFonts w:ascii="Inter" w:cs="Inter" w:eastAsia="Inter" w:hAnsi="Inter"/>
        </w:rPr>
        <w:t xml:space="preserve">Brand activation split. The 60/40 brand-activation split moves from doctrine to Ford’s own data, so every dollar is spent where it works hardest.</w:t>
      </w:r>
    </w:p>
    <w:p>
      <w:pPr>
        <w:pStyle w:val="Heading1"/>
        <w:keepNext/>
        <w:keepLines/>
        <w:spacing w:before="400" w:after="160" w:line="260" w:lineRule="auto"/>
      </w:pPr>
      <w:r>
        <w:rPr>
          <w:b/>
          <w:bCs/>
          <w:color w:val="0A2540"/>
          <w:sz w:val="28"/>
          <w:szCs w:val="28"/>
          <w:rFonts w:ascii="Inter" w:cs="Inter" w:eastAsia="Inter" w:hAnsi="Inter"/>
        </w:rPr>
        <w:t xml:space="preserve">How we do it</w:t>
      </w:r>
    </w:p>
    <w:p>
      <w:pPr>
        <w:pStyle w:val="ListParagraph"/>
        <w:widowControl/>
        <w:numPr>
          <w:ilvl w:val="0"/>
          <w:numId w:val="2"/>
        </w:numPr>
        <w:spacing w:after="90" w:line="285" w:lineRule="auto"/>
      </w:pPr>
      <w:r>
        <w:rPr>
          <w:color w:val="1F2D3D"/>
          <w:sz w:val="21"/>
          <w:szCs w:val="21"/>
          <w:rFonts w:ascii="Inter" w:cs="Inter" w:eastAsia="Inter" w:hAnsi="Inter"/>
        </w:rPr>
        <w:t xml:space="preserve">Move 1. Calibrate Ford’s in-market rate to its own buyers, so you know exactly how many are ready to buy this quarter.</w:t>
      </w:r>
    </w:p>
    <w:p>
      <w:pPr>
        <w:pStyle w:val="ListParagraph"/>
        <w:widowControl/>
        <w:numPr>
          <w:ilvl w:val="0"/>
          <w:numId w:val="2"/>
        </w:numPr>
        <w:spacing w:after="90" w:line="285" w:lineRule="auto"/>
      </w:pPr>
      <w:r>
        <w:rPr>
          <w:color w:val="1F2D3D"/>
          <w:sz w:val="21"/>
          <w:szCs w:val="21"/>
          <w:rFonts w:ascii="Inter" w:cs="Inter" w:eastAsia="Inter" w:hAnsi="Inter"/>
        </w:rPr>
        <w:t xml:space="preserve">Move 2. Measure the test-drive conversion path in real time, so you can optimise the offer and the creative without waiting for dealer reports.</w:t>
      </w:r>
    </w:p>
    <w:p>
      <w:pPr>
        <w:pStyle w:val="ListParagraph"/>
        <w:widowControl/>
        <w:numPr>
          <w:ilvl w:val="0"/>
          <w:numId w:val="2"/>
        </w:numPr>
        <w:spacing w:after="90" w:line="285" w:lineRule="auto"/>
      </w:pPr>
      <w:r>
        <w:rPr>
          <w:color w:val="1F2D3D"/>
          <w:sz w:val="21"/>
          <w:szCs w:val="21"/>
          <w:rFonts w:ascii="Inter" w:cs="Inter" w:eastAsia="Inter" w:hAnsi="Inter"/>
        </w:rPr>
        <w:t xml:space="preserve">Move 3. Optimise the 60/40 brand-activation split to Ford’s own data, so every dollar is spent where it works hardest.</w:t>
      </w:r>
    </w:p>
    <w:p>
      <w:pPr>
        <w:pStyle w:val="Heading1"/>
        <w:keepNext/>
        <w:keepLines/>
        <w:spacing w:before="400" w:after="160" w:line="260" w:lineRule="auto"/>
      </w:pPr>
      <w:r>
        <w:rPr>
          <w:b/>
          <w:bCs/>
          <w:color w:val="0A2540"/>
          <w:sz w:val="28"/>
          <w:szCs w:val="28"/>
          <w:rFonts w:ascii="Inter" w:cs="Inter" w:eastAsia="Inter" w:hAnsi="Inter"/>
        </w:rPr>
        <w:t xml:space="preserve">Why us</w:t>
      </w:r>
    </w:p>
    <w:p>
      <w:pPr>
        <w:widowControl/>
        <w:spacing w:after="140" w:line="290" w:lineRule="auto"/>
      </w:pPr>
      <w:r>
        <w:rPr>
          <w:i w:val="false"/>
          <w:iCs w:val="false"/>
          <w:color w:val="1F2D3D"/>
          <w:sz w:val="21"/>
          <w:szCs w:val="21"/>
          <w:rFonts w:ascii="Inter" w:cs="Inter" w:eastAsia="Inter" w:hAnsi="Inter"/>
        </w:rPr>
        <w:t xml:space="preserve">KEN is the only agentic operating system that calibrates marketing laws to your own buyers, so you can plan against your own numbers rather than the category proxy. (: Dealers should protect the test-drive experience, because most new-car buyers say the test drive alone is what sold them the vehicle.)</w:t>
      </w:r>
    </w:p>
    <w:p>
      <w:pPr>
        <w:pStyle w:val="Heading1"/>
        <w:keepNext/>
        <w:keepLines/>
        <w:spacing w:before="400" w:after="160" w:line="260" w:lineRule="auto"/>
      </w:pPr>
      <w:r>
        <w:rPr>
          <w:b/>
          <w:bCs/>
          <w:color w:val="0A2540"/>
          <w:sz w:val="28"/>
          <w:szCs w:val="28"/>
          <w:rFonts w:ascii="Inter" w:cs="Inter" w:eastAsia="Inter" w:hAnsi="Inter"/>
        </w:rPr>
        <w:t xml:space="preserve">Commercial terms</w:t>
      </w:r>
    </w:p>
    <w:tbl>
      <w:tblPr>
        <w:tblW w:type="dxa" w:w="8504"/>
        <w:tblBorders>
          <w:top w:val="single" w:color="D5E6F2" w:sz="2"/>
          <w:left w:val="none"/>
          <w:bottom w:val="single" w:color="D5E6F2" w:sz="2"/>
          <w:right w:val="none"/>
          <w:insideH w:val="single" w:color="D5E6F2" w:sz="2"/>
          <w:insideV w:val="none"/>
        </w:tblBorders>
        <w:tblCellMar>
          <w:top w:type="dxa" w:w="90"/>
          <w:left w:type="dxa" w:w="120"/>
          <w:bottom w:type="dxa" w:w="90"/>
          <w:right w:type="dxa" w:w="120"/>
        </w:tblCellMar>
      </w:tblPr>
      <w:tblGrid>
        <w:gridCol w:w="3402"/>
        <w:gridCol w:w="1361"/>
        <w:gridCol w:w="1531"/>
        <w:gridCol w:w="2210"/>
      </w:tblGrid>
      <w:tr>
        <w:trPr>
          <w:cantSplit/>
          <w:tblHeader/>
        </w:trPr>
        <w:tc>
          <w:tcPr>
            <w:tcW w:type="dxa" w:w="3402"/>
            <w:shd w:fill="F4FAFD" w:color="auto" w:val="clear"/>
            <w:tcMar>
              <w:top w:type="dxa" w:w="90"/>
              <w:left w:type="dxa" w:w="120"/>
              <w:bottom w:type="dxa" w:w="90"/>
              <w:right w:type="dxa" w:w="120"/>
            </w:tcMar>
          </w:tcPr>
          <w:p>
            <w:pPr>
              <w:spacing w:line="260" w:lineRule="auto"/>
              <w:jc w:val="left"/>
            </w:pPr>
            <w:r>
              <w:rPr>
                <w:b/>
                <w:bCs/>
                <w:color w:val="0A2540"/>
                <w:sz w:val="20"/>
                <w:szCs w:val="20"/>
                <w:rFonts w:ascii="Inter" w:cs="Inter" w:eastAsia="Inter" w:hAnsi="Inter"/>
              </w:rPr>
              <w:t xml:space="preserve">Item</w:t>
            </w:r>
          </w:p>
        </w:tc>
        <w:tc>
          <w:tcPr>
            <w:tcW w:type="dxa" w:w="1361"/>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Quantity</w:t>
            </w:r>
          </w:p>
        </w:tc>
        <w:tc>
          <w:tcPr>
            <w:tcW w:type="dxa" w:w="1531"/>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Term</w:t>
            </w:r>
          </w:p>
        </w:tc>
        <w:tc>
          <w:tcPr>
            <w:tcW w:type="dxa" w:w="2210"/>
            <w:shd w:fill="F4FAFD" w:color="auto" w:val="clear"/>
            <w:tcMar>
              <w:top w:type="dxa" w:w="90"/>
              <w:left w:type="dxa" w:w="120"/>
              <w:bottom w:type="dxa" w:w="90"/>
              <w:right w:type="dxa" w:w="120"/>
            </w:tcMar>
          </w:tcPr>
          <w:p>
            <w:pPr>
              <w:spacing w:line="260" w:lineRule="auto"/>
              <w:jc w:val="right"/>
            </w:pPr>
            <w:r>
              <w:rPr>
                <w:b/>
                <w:bCs/>
                <w:color w:val="0A2540"/>
                <w:sz w:val="20"/>
                <w:szCs w:val="20"/>
                <w:rFonts w:ascii="Inter" w:cs="Inter" w:eastAsia="Inter" w:hAnsi="Inter"/>
              </w:rPr>
              <w:t xml:space="preserve">Amount</w:t>
            </w:r>
          </w:p>
        </w:tc>
      </w:tr>
      <w:tr>
        <w:trPr>
          <w:cantSplit/>
        </w:trPr>
        <w:tc>
          <w:tcPr>
            <w:tcW w:type="dxa" w:w="3402"/>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Calibration Programme: The measurement layer. Every marketing law carried as a parameter with a status of proxy, calibrating, measured or drifting, moved off the textbook by observations fro</w:t>
            </w:r>
          </w:p>
        </w:tc>
        <w:tc>
          <w:tcPr>
            <w:tcW w:type="dxa" w:w="136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w:t>
            </w:r>
          </w:p>
        </w:tc>
        <w:tc>
          <w:tcPr>
            <w:tcW w:type="dxa" w:w="153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12 months</w:t>
            </w:r>
          </w:p>
        </w:tc>
        <w:tc>
          <w:tcPr>
            <w:tcW w:type="dxa" w:w="2210"/>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$36,000.00</w:t>
            </w:r>
          </w:p>
        </w:tc>
      </w:tr>
      <w:tr>
        <w:trPr>
          <w:cantSplit/>
        </w:trPr>
        <w:tc>
          <w:tcPr>
            <w:tcW w:type="dxa" w:w="3402"/>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KEN Core Licence: The agentic operating system. The kernel, the brain, the front door, the run ledger and the evidence rule, so Ford can see the test-drive conversion path in real time and o</w:t>
            </w:r>
          </w:p>
        </w:tc>
        <w:tc>
          <w:tcPr>
            <w:tcW w:type="dxa" w:w="136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w:t>
            </w:r>
          </w:p>
        </w:tc>
        <w:tc>
          <w:tcPr>
            <w:tcW w:type="dxa" w:w="1531"/>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12 months</w:t>
            </w:r>
          </w:p>
        </w:tc>
        <w:tc>
          <w:tcPr>
            <w:tcW w:type="dxa" w:w="2210"/>
            <w:tcMar>
              <w:top w:type="dxa" w:w="90"/>
              <w:left w:type="dxa" w:w="120"/>
              <w:bottom w:type="dxa" w:w="90"/>
              <w:right w:type="dxa" w:w="120"/>
            </w:tcMar>
          </w:tcPr>
          <w:p>
            <w:pPr>
              <w:spacing w:line="260" w:lineRule="auto"/>
              <w:jc w:val="right"/>
            </w:pPr>
            <w:r>
              <w:rPr>
                <w:b w:val="false"/>
                <w:bCs w:val="false"/>
                <w:color w:val="1F2D3D"/>
                <w:sz w:val="20"/>
                <w:szCs w:val="20"/>
                <w:rFonts w:ascii="Inter" w:cs="Inter" w:eastAsia="Inter" w:hAnsi="Inter"/>
              </w:rPr>
              <w:t xml:space="preserve">$114,000.00</w:t>
            </w:r>
          </w:p>
        </w:tc>
      </w:tr>
      <w:tr>
        <w:trPr>
          <w:cantSplit/>
        </w:trPr>
        <w:tc>
          <w:tcPr>
            <w:tcW w:type="dxa" w:w="3402"/>
            <w:shd w:fill="0A2540" w:color="auto" w:val="clear"/>
            <w:tcMar>
              <w:top w:type="dxa" w:w="90"/>
              <w:left w:type="dxa" w:w="120"/>
              <w:bottom w:type="dxa" w:w="90"/>
              <w:right w:type="dxa" w:w="120"/>
            </w:tcMar>
          </w:tcPr>
          <w:p>
            <w:pPr>
              <w:spacing w:line="260" w:lineRule="auto"/>
              <w:jc w:val="left"/>
            </w:pPr>
            <w:r>
              <w:rPr>
                <w:b/>
                <w:bCs/>
                <w:color w:val="FFFFFF"/>
                <w:sz w:val="26"/>
                <w:szCs w:val="26"/>
                <w:rFonts w:ascii="Inter" w:cs="Inter" w:eastAsia="Inter" w:hAnsi="Inter"/>
              </w:rPr>
              <w:t xml:space="preserve">Total, 12 months</w:t>
            </w:r>
          </w:p>
        </w:tc>
        <w:tc>
          <w:tcPr>
            <w:tcW w:type="dxa" w:w="1361"/>
            <w:shd w:fill="0A2540" w:color="auto" w:val="clear"/>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
            </w:r>
          </w:p>
        </w:tc>
        <w:tc>
          <w:tcPr>
            <w:tcW w:type="dxa" w:w="1531"/>
            <w:shd w:fill="0A2540" w:color="auto" w:val="clear"/>
            <w:tcMar>
              <w:top w:type="dxa" w:w="90"/>
              <w:left w:type="dxa" w:w="120"/>
              <w:bottom w:type="dxa" w:w="90"/>
              <w:right w:type="dxa" w:w="120"/>
            </w:tcMar>
          </w:tcPr>
          <w:p>
            <w:pPr>
              <w:spacing w:line="260" w:lineRule="auto"/>
              <w:jc w:val="left"/>
            </w:pPr>
            <w:r>
              <w:rPr>
                <w:b w:val="false"/>
                <w:bCs w:val="false"/>
                <w:color w:val="1F2D3D"/>
                <w:sz w:val="20"/>
                <w:szCs w:val="20"/>
                <w:rFonts w:ascii="Inter" w:cs="Inter" w:eastAsia="Inter" w:hAnsi="Inter"/>
              </w:rPr>
              <w:t xml:space="preserve"/>
            </w:r>
          </w:p>
        </w:tc>
        <w:tc>
          <w:tcPr>
            <w:tcW w:type="dxa" w:w="2210"/>
            <w:shd w:fill="0A2540" w:color="auto" w:val="clear"/>
            <w:tcMar>
              <w:top w:type="dxa" w:w="90"/>
              <w:left w:type="dxa" w:w="120"/>
              <w:bottom w:type="dxa" w:w="90"/>
              <w:right w:type="dxa" w:w="120"/>
            </w:tcMar>
          </w:tcPr>
          <w:p>
            <w:pPr>
              <w:spacing w:line="260" w:lineRule="auto"/>
              <w:jc w:val="right"/>
            </w:pPr>
            <w:r>
              <w:rPr>
                <w:b/>
                <w:bCs/>
                <w:color w:val="FFFFFF"/>
                <w:sz w:val="26"/>
                <w:szCs w:val="26"/>
                <w:rFonts w:ascii="Inter" w:cs="Inter" w:eastAsia="Inter" w:hAnsi="Inter"/>
              </w:rPr>
              <w:t xml:space="preserve">$150,000.00</w:t>
            </w:r>
          </w:p>
        </w:tc>
      </w:tr>
    </w:tbl>
    <w:p>
      <w:pPr>
        <w:spacing w:before="200" w:after="160" w:line="260" w:lineRule="auto"/>
      </w:pPr>
      <w:r>
        <w:rPr>
          <w:i/>
          <w:iCs/>
          <w:color w:val="5B7186"/>
          <w:sz w:val="17"/>
          <w:szCs w:val="17"/>
          <w:rFonts w:ascii="Inter" w:cs="Inter" w:eastAsia="Inter" w:hAnsi="Inter"/>
        </w:rPr>
        <w:t xml:space="preserve">Amounts in US dollars, exclusive of tax. The database computed every figure in this table from the catalogue. No amount here was written by a model.</w:t>
      </w:r>
    </w:p>
    <w:p>
      <w:pPr>
        <w:pStyle w:val="Heading1"/>
        <w:keepNext/>
        <w:keepLines/>
        <w:spacing w:before="400" w:after="160" w:line="260" w:lineRule="auto"/>
      </w:pPr>
      <w:r>
        <w:rPr>
          <w:b/>
          <w:bCs/>
          <w:color w:val="0A2540"/>
          <w:sz w:val="28"/>
          <w:szCs w:val="28"/>
          <w:rFonts w:ascii="Inter" w:cs="Inter" w:eastAsia="Inter" w:hAnsi="Inter"/>
        </w:rPr>
        <w:t xml:space="preserve">The first move</w:t>
      </w:r>
    </w:p>
    <w:p>
      <w:pPr>
        <w:widowControl/>
        <w:spacing w:after="140" w:line="290" w:lineRule="auto"/>
      </w:pPr>
      <w:r>
        <w:rPr>
          <w:i w:val="false"/>
          <w:iCs w:val="false"/>
          <w:color w:val="1F2D3D"/>
          <w:sz w:val="21"/>
          <w:szCs w:val="21"/>
          <w:rFonts w:ascii="Inter" w:cs="Inter" w:eastAsia="Inter" w:hAnsi="Inter"/>
        </w:rPr>
        <w:t xml:space="preserve">A one-day calibration workshop on 2026-09-15, where we agree the burning platform and the preconditions for success. The first live numbers are in your dashboard by 2026-10-01.</w:t>
      </w:r>
    </w:p>
    <w:p>
      <w:pPr>
        <w:pStyle w:val="Heading1"/>
        <w:keepNext/>
        <w:keepLines/>
        <w:spacing w:before="400" w:after="160" w:line="260" w:lineRule="auto"/>
      </w:pPr>
      <w:r>
        <w:rPr>
          <w:b/>
          <w:bCs/>
          <w:color w:val="0A2540"/>
          <w:sz w:val="28"/>
          <w:szCs w:val="28"/>
          <w:rFonts w:ascii="Inter" w:cs="Inter" w:eastAsia="Inter" w:hAnsi="Inter"/>
        </w:rPr>
        <w:t xml:space="preserve">What we are assuming</w:t>
      </w:r>
    </w:p>
    <w:p>
      <w:pPr>
        <w:pStyle w:val="ListParagraph"/>
        <w:widowControl/>
        <w:numPr>
          <w:ilvl w:val="0"/>
          <w:numId w:val="2"/>
        </w:numPr>
        <w:spacing w:after="90" w:line="285" w:lineRule="auto"/>
      </w:pPr>
      <w:r>
        <w:rPr>
          <w:color w:val="1F2D3D"/>
          <w:sz w:val="21"/>
          <w:szCs w:val="21"/>
          <w:rFonts w:ascii="Inter" w:cs="Inter" w:eastAsia="Inter" w:hAnsi="Inter"/>
        </w:rPr>
        <w:t xml:space="preserve">Ford’s marketing team will grant KEN access to its paid search, CTV and dealer locator data, so we can measure the test-drive conversion path in real time.</w:t>
      </w:r>
    </w:p>
    <w:p>
      <w:pPr>
        <w:pStyle w:val="ListParagraph"/>
        <w:widowControl/>
        <w:numPr>
          <w:ilvl w:val="0"/>
          <w:numId w:val="2"/>
        </w:numPr>
        <w:spacing w:after="90" w:line="285" w:lineRule="auto"/>
      </w:pPr>
      <w:r>
        <w:rPr>
          <w:color w:val="1F2D3D"/>
          <w:sz w:val="21"/>
          <w:szCs w:val="21"/>
          <w:rFonts w:ascii="Inter" w:cs="Inter" w:eastAsia="Inter" w:hAnsi="Inter"/>
        </w:rPr>
        <w:t xml:space="preserve">Ford’s dealers will share test-drive appointment data, so we can close the loop from invitation to sale.</w:t>
      </w:r>
    </w:p>
    <w:p>
      <w:pPr>
        <w:pStyle w:val="ListParagraph"/>
        <w:widowControl/>
        <w:numPr>
          <w:ilvl w:val="0"/>
          <w:numId w:val="2"/>
        </w:numPr>
        <w:spacing w:after="90" w:line="285" w:lineRule="auto"/>
      </w:pPr>
      <w:r>
        <w:rPr>
          <w:color w:val="1F2D3D"/>
          <w:sz w:val="21"/>
          <w:szCs w:val="21"/>
          <w:rFonts w:ascii="Inter" w:cs="Inter" w:eastAsia="Inter" w:hAnsi="Inter"/>
        </w:rPr>
        <w:t xml:space="preserve">Ford’s leadership will act on the calibrated in-market rate and the measured conversion path, rather than defaulting to the category proxy.</w:t>
      </w:r>
    </w:p>
    <w:p>
      <w:pPr>
        <w:pStyle w:val="ListParagraph"/>
        <w:widowControl/>
        <w:numPr>
          <w:ilvl w:val="0"/>
          <w:numId w:val="2"/>
        </w:numPr>
        <w:spacing w:after="90" w:line="285" w:lineRule="auto"/>
      </w:pPr>
      <w:r>
        <w:rPr>
          <w:color w:val="1F2D3D"/>
          <w:sz w:val="21"/>
          <w:szCs w:val="21"/>
          <w:rFonts w:ascii="Inter" w:cs="Inter" w:eastAsia="Inter" w:hAnsi="Inter"/>
        </w:rPr>
        <w:t xml:space="preserve">No rivals of Ford’s own are recorded in the brain, so we assume none are material to this proposal.</w:t>
      </w:r>
    </w:p>
    <w:p>
      <w:pPr>
        <w:pStyle w:val="Heading1"/>
        <w:keepNext/>
        <w:keepLines/>
        <w:spacing w:before="400" w:after="160" w:line="260" w:lineRule="auto"/>
      </w:pPr>
      <w:r>
        <w:rPr>
          <w:b/>
          <w:bCs/>
          <w:color w:val="0A2540"/>
          <w:sz w:val="28"/>
          <w:szCs w:val="28"/>
          <w:rFonts w:ascii="Inter" w:cs="Inter" w:eastAsia="Inter" w:hAnsi="Inter"/>
        </w:rPr>
        <w:t xml:space="preserve">Risks we can see</w:t>
      </w:r>
    </w:p>
    <w:p>
      <w:pPr>
        <w:pStyle w:val="ListParagraph"/>
        <w:widowControl/>
        <w:numPr>
          <w:ilvl w:val="0"/>
          <w:numId w:val="2"/>
        </w:numPr>
        <w:spacing w:after="90" w:line="285" w:lineRule="auto"/>
      </w:pPr>
      <w:r>
        <w:rPr>
          <w:color w:val="1F2D3D"/>
          <w:sz w:val="21"/>
          <w:szCs w:val="21"/>
          <w:rFonts w:ascii="Inter" w:cs="Inter" w:eastAsia="Inter" w:hAnsi="Inter"/>
        </w:rPr>
        <w:t xml:space="preserve">Dealers do not share test-drive appointment data, so the conversion path remains unmeasured. Early warning: No test-drive data appears in the KEN dashboard by 2026-10-15.</w:t>
      </w:r>
    </w:p>
    <w:p>
      <w:pPr>
        <w:pStyle w:val="ListParagraph"/>
        <w:widowControl/>
        <w:numPr>
          <w:ilvl w:val="0"/>
          <w:numId w:val="2"/>
        </w:numPr>
        <w:spacing w:after="90" w:line="285" w:lineRule="auto"/>
      </w:pPr>
      <w:r>
        <w:rPr>
          <w:color w:val="1F2D3D"/>
          <w:sz w:val="21"/>
          <w:szCs w:val="21"/>
          <w:rFonts w:ascii="Inter" w:cs="Inter" w:eastAsia="Inter" w:hAnsi="Inter"/>
        </w:rPr>
        <w:t xml:space="preserve">The calibrated in-market rate is lower than the category proxy, so the activation budget is reduced. Early warning: The in-market rate calibration shows a number below 5 percent.</w:t>
      </w:r>
    </w:p>
    <w:p>
      <w:pPr>
        <w:pStyle w:val="ListParagraph"/>
        <w:widowControl/>
        <w:numPr>
          <w:ilvl w:val="0"/>
          <w:numId w:val="2"/>
        </w:numPr>
        <w:spacing w:after="90" w:line="285" w:lineRule="auto"/>
      </w:pPr>
      <w:r>
        <w:rPr>
          <w:color w:val="1F2D3D"/>
          <w:sz w:val="21"/>
          <w:szCs w:val="21"/>
          <w:rFonts w:ascii="Inter" w:cs="Inter" w:eastAsia="Inter" w:hAnsi="Inter"/>
        </w:rPr>
        <w:t xml:space="preserve">The measured conversion path shows the same-day appointment guarantee is filtering out serious buyers, so the offer needs to change. Early warning: The test-drive conversion rate from invitation to appointment is below the category proxy of 40 percent (Four Eyes, reported via Demand Local).</w:t>
      </w:r>
    </w:p>
    <w:p>
      <w:r>
        <w:br w:type="page"/>
      </w:r>
    </w:p>
    <w:p>
      <w:pPr>
        <w:pStyle w:val="Heading1"/>
        <w:keepNext/>
        <w:keepLines/>
        <w:spacing w:before="400" w:after="160" w:line="260" w:lineRule="auto"/>
      </w:pPr>
      <w:r>
        <w:rPr>
          <w:b/>
          <w:bCs/>
          <w:color w:val="0A2540"/>
          <w:sz w:val="28"/>
          <w:szCs w:val="28"/>
          <w:rFonts w:ascii="Inter" w:cs="Inter" w:eastAsia="Inter" w:hAnsi="Inter"/>
        </w:rPr>
        <w:t xml:space="preserve">The record of this document</w:t>
      </w:r>
    </w:p>
    <w:p>
      <w:pPr>
        <w:widowControl/>
        <w:spacing w:after="140" w:line="290" w:lineRule="auto"/>
      </w:pPr>
      <w:r>
        <w:rPr>
          <w:i w:val="false"/>
          <w:iCs w:val="false"/>
          <w:color w:val="5B7186"/>
          <w:sz w:val="21"/>
          <w:szCs w:val="21"/>
          <w:rFonts w:ascii="Inter" w:cs="Inter" w:eastAsia="Inter" w:hAnsi="Inter"/>
        </w:rPr>
        <w:t xml:space="preserve">An internal page. KEN wrote the argument, the database priced it, and everything below can be checked against the record. Remove this page before the proposal is sent.</w:t>
      </w:r>
    </w:p>
    <w:tbl>
      <w:tblPr>
        <w:tblW w:type="dxa" w:w="8504"/>
        <w:tblBorders>
          <w:top w:val="single" w:color="D5E6F2" w:sz="2"/>
          <w:left w:val="none"/>
          <w:bottom w:val="single" w:color="D5E6F2" w:sz="2"/>
          <w:right w:val="none"/>
          <w:insideH w:val="single" w:color="D5E6F2" w:sz="2"/>
          <w:insideV w:val="none"/>
        </w:tblBorders>
        <w:tblCellMar>
          <w:top w:type="dxa" w:w="90"/>
          <w:left w:type="dxa" w:w="120"/>
          <w:bottom w:type="dxa" w:w="90"/>
          <w:right w:type="dxa" w:w="120"/>
        </w:tblCellMar>
      </w:tblPr>
      <w:tblGrid>
        <w:gridCol w:w="2721"/>
        <w:gridCol w:w="5783"/>
      </w:tblGrid>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Written by</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Proposal Writer, run b2378486</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Task type</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TT-REV-PROPOSAL-ENT</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Model</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llm4:mistral-large-latest</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Grounded in</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Ford</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Opportunity</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Ford KEN Calibration &amp; Core Licence, expected close 2026-09-10</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Price origin</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assumption</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Price basis</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No rate card exists in the estate. Searched public.house_doctrine on pricing, fees, retainer and rate card across 523 beliefs and found none. Ash sets these figures; until he does they are indicative and the proposal says so.</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Doctrine applied</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DISCOUNT_CEILING applied: discount requested 0 per cent against a ceiling of 15 per cent, accepted.</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Machine identifiers the run wrote and this renderer removed</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1 occurrences of 1, listed against this proposal in the database</w:t>
            </w:r>
          </w:p>
        </w:tc>
      </w:tr>
      <w:tr>
        <w:trPr>
          <w:cantSplit/>
        </w:trPr>
        <w:tc>
          <w:tcPr>
            <w:tcW w:type="dxa" w:w="2721"/>
            <w:tcMar>
              <w:top w:type="dxa" w:w="90"/>
              <w:left w:type="dxa" w:w="120"/>
              <w:bottom w:type="dxa" w:w="90"/>
              <w:right w:type="dxa" w:w="120"/>
            </w:tcMar>
          </w:tcPr>
          <w:p>
            <w:pPr>
              <w:spacing w:line="260" w:lineRule="auto"/>
              <w:jc w:val="left"/>
            </w:pPr>
            <w:r>
              <w:rPr>
                <w:b w:val="false"/>
                <w:bCs w:val="false"/>
                <w:color w:val="5B7186"/>
                <w:sz w:val="18"/>
                <w:szCs w:val="18"/>
                <w:rFonts w:ascii="Inter" w:cs="Inter" w:eastAsia="Inter" w:hAnsi="Inter"/>
              </w:rPr>
              <w:t xml:space="preserve">Renderer</w:t>
            </w:r>
          </w:p>
        </w:tc>
        <w:tc>
          <w:tcPr>
            <w:tcW w:type="dxa" w:w="5783"/>
            <w:tcMar>
              <w:top w:type="dxa" w:w="90"/>
              <w:left w:type="dxa" w:w="120"/>
              <w:bottom w:type="dxa" w:w="90"/>
              <w:right w:type="dxa" w:w="120"/>
            </w:tcMar>
          </w:tcPr>
          <w:p>
            <w:pPr>
              <w:spacing w:line="260" w:lineRule="auto"/>
              <w:jc w:val="left"/>
            </w:pPr>
            <w:r>
              <w:rPr>
                <w:b w:val="false"/>
                <w:bCs w:val="false"/>
                <w:color w:val="1F2D3D"/>
                <w:sz w:val="18"/>
                <w:szCs w:val="18"/>
                <w:rFonts w:ascii="Inter" w:cs="Inter" w:eastAsia="Inter" w:hAnsi="Inter"/>
              </w:rPr>
              <w:t xml:space="preserve">RENDER-PROPOSAL-01 v1.3.0, ideacel palette. Set in Inter where the reader has it, otherwise their default sans serif.</w:t>
            </w:r>
          </w:p>
        </w:tc>
      </w:tr>
    </w:tbl>
    <w:sectPr>
      <w:footerReference w:type="default" r:id="rId6"/>
      <w:pgSz w:w="11906" w:h="16838"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5B7186"/>
        <w:sz w:val="15"/>
        <w:szCs w:val="15"/>
        <w:rFonts w:ascii="Inter" w:cs="Inter" w:eastAsia="Inter" w:hAnsi="Inter"/>
      </w:rPr>
      <w:t xml:space="preserve">IDEACEL  ·  PROP-b2378486-V1  ·  </w:t>
    </w:r>
    <w:r>
      <w:rPr>
        <w:color w:val="5B7186"/>
        <w:sz w:val="15"/>
        <w:szCs w:val="15"/>
        <w:rFonts w:ascii="Inter" w:cs="Inter" w:eastAsia="Inter" w:hAnsi="Inter"/>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88"/>
      </w:pPr>
      <w:rPr>
        <w:color w:val="1A98DA"/>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D3D"/>
        <w:sz w:val="21"/>
        <w:szCs w:val="21"/>
        <w:rFonts w:ascii="Inter" w:cs="Inter" w:eastAsia="Inter" w:hAnsi="Inter"/>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before="400" w:after="160" w:line="260" w:lineRule="auto"/>
      <w:outlineLvl w:val="0"/>
    </w:pPr>
    <w:rPr>
      <w:b/>
      <w:bCs/>
      <w:color w:val="0A2540"/>
      <w:sz w:val="28"/>
      <w:szCs w:val="28"/>
      <w:rFonts w:ascii="Inter" w:cs="Inter" w:eastAsia="Inter" w:hAnsi="Inter"/>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Ford KEN: Calibrate, Measure, Optimise</dc:title>
  <dc:creator>IDEACEL</dc:creator>
  <dc:description>Proposal PROP-b2378486-V1 version 1</dc:description>
  <cp:lastModifiedBy>KEN, RENDER-PROPOSAL-01</cp:lastModifiedBy>
  <cp:revision>1</cp:revision>
  <dcterms:created xsi:type="dcterms:W3CDTF">2026-08-19T22:46:28.238Z</dcterms:created>
  <dcterms:modified xsi:type="dcterms:W3CDTF">2026-08-19T22:46:28.238Z</dcterms:modified>
</cp:coreProperties>
</file>

<file path=docProps/custom.xml><?xml version="1.0" encoding="utf-8"?>
<Properties xmlns="http://schemas.openxmlformats.org/officeDocument/2006/custom-properties" xmlns:vt="http://schemas.openxmlformats.org/officeDocument/2006/docPropsVTypes"/>
</file>