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A2540" w:color="auto" w:val="clear"/>
        <w:spacing w:after="40" w:line="320" w:lineRule="auto"/>
      </w:pPr>
      <w:r>
        <w:rPr>
          <w:b/>
          <w:bCs/>
          <w:color w:val="FFFFFF"/>
          <w:sz w:val="22"/>
          <w:szCs w:val="22"/>
          <w:rFonts w:ascii="Inter" w:cs="Inter" w:eastAsia="Inter" w:hAnsi="Inter"/>
          <w:spacing w:val="60"/>
        </w:rPr>
        <w:t xml:space="preserve">  IDEACEL  </w:t>
      </w:r>
    </w:p>
    <w:p>
      <w:pPr>
        <w:spacing w:before="360" w:after="160" w:line="240" w:lineRule="auto"/>
      </w:pPr>
      <w:r>
        <w:rPr>
          <w:b/>
          <w:bCs/>
          <w:color w:val="1A98DA"/>
          <w:sz w:val="17"/>
          <w:szCs w:val="17"/>
          <w:rFonts w:ascii="Inter" w:cs="Inter" w:eastAsia="Inter" w:hAnsi="Inter"/>
          <w:spacing w:val="40"/>
        </w:rPr>
        <w:t xml:space="preserve">PROPOSAL  ·  VERSION 1</w:t>
      </w:r>
    </w:p>
    <w:p>
      <w:pPr>
        <w:spacing w:after="160" w:line="264" w:lineRule="auto"/>
      </w:pPr>
      <w:r>
        <w:rPr>
          <w:b/>
          <w:bCs/>
          <w:color w:val="0A2540"/>
          <w:sz w:val="52"/>
          <w:szCs w:val="52"/>
          <w:rFonts w:ascii="Inter" w:cs="Inter" w:eastAsia="Inter" w:hAnsi="Inter"/>
        </w:rPr>
        <w:t xml:space="preserve">KEN for Domino’s, Calibrate, Measure, Optimise</w:t>
      </w:r>
    </w:p>
    <w:p>
      <w:pPr>
        <w:spacing w:after="340" w:line="280" w:lineRule="auto"/>
      </w:pPr>
      <w:r>
        <w:rPr>
          <w:color w:val="5B7186"/>
          <w:sz w:val="24"/>
          <w:szCs w:val="24"/>
          <w:rFonts w:ascii="Inter" w:cs="Inter" w:eastAsia="Inter" w:hAnsi="Inter"/>
        </w:rPr>
        <w:t xml:space="preserve">Prepared for Domino's Pizza</w:t>
      </w:r>
    </w:p>
    <w:p>
      <w:pPr>
        <w:pBdr>
          <w:bottom w:val="single" w:color="D5E6F2" w:sz="6" w:space="6"/>
        </w:pBdr>
        <w:spacing w:after="220"/>
      </w:pPr>
    </w:p>
    <w:tbl>
      <w:tblPr>
        <w:tblW w:type="dxa" w:w="8504"/>
        <w:tblBorders>
          <w:top w:val="none"/>
          <w:left w:val="none"/>
          <w:bottom w:val="none"/>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for</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Domino's Pizza</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by</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IDEACEL</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Dated</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19 August 2026</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Term</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12 months</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Total</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$150,000.00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Reference</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PROP-9caf0837-V1</w:t>
            </w:r>
          </w:p>
        </w:tc>
      </w:tr>
    </w:tbl>
    <w:p>
      <w:pPr>
        <w:spacing w:before="260" w:line="260" w:lineRule="auto"/>
      </w:pPr>
      <w:r>
        <w:rPr>
          <w:i/>
          <w:iCs/>
          <w:color w:val="5B7186"/>
          <w:sz w:val="17"/>
          <w:szCs w:val="17"/>
          <w:rFonts w:ascii="Inter" w:cs="Inter" w:eastAsia="Inter" w:hAnsi="Inter"/>
        </w:rPr>
        <w:t xml:space="preserve">Commercial in confidence. Every price in this document is indicative and carries its origin on the last page.</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offer</w:t>
      </w:r>
    </w:p>
    <w:p>
      <w:pPr>
        <w:widowControl/>
        <w:spacing w:after="140" w:line="290" w:lineRule="auto"/>
      </w:pPr>
      <w:r>
        <w:rPr>
          <w:i w:val="false"/>
          <w:iCs w:val="false"/>
          <w:color w:val="1F2D3D"/>
          <w:sz w:val="21"/>
          <w:szCs w:val="21"/>
          <w:rFonts w:ascii="Inter" w:cs="Inter" w:eastAsia="Inter" w:hAnsi="Inter"/>
        </w:rPr>
        <w:t xml:space="preserve">Domino’s, you spend 60% of your budget reaching the 95% of pizza buyers who are not in-market this week (cross-category law, summitpartners.com). Right now you cannot see whether that spend is building mental availability or leaking into waste. KEN will calibrate every parameter of your out-of-market blitz, measure the lift in distinctive asset recognition, and shift budget in real time to the channels that move the needle. Light buyers, those who order pizza less than once a month, drive more than 60% of your US sales growth, and carryout orders from them are 15% more profitable than delivery. We will show you exactly how much of your brand spend is reaching them, and what it costs to move them from ‘I don’t think of Domino’s’ to ‘I’ll pick up a pizza on the way home’. The work starts next week, runs for twelve months, and requires no discount.</w:t>
      </w:r>
    </w:p>
    <w:p>
      <w:pPr>
        <w:pStyle w:val="Heading1"/>
        <w:keepNext/>
        <w:keepLines/>
        <w:spacing w:before="400" w:after="160" w:line="260" w:lineRule="auto"/>
      </w:pPr>
      <w:r>
        <w:rPr>
          <w:b/>
          <w:bCs/>
          <w:color w:val="0A2540"/>
          <w:sz w:val="28"/>
          <w:szCs w:val="28"/>
          <w:rFonts w:ascii="Inter" w:cs="Inter" w:eastAsia="Inter" w:hAnsi="Inter"/>
        </w:rPr>
        <w:t xml:space="preserve">Where you are</w:t>
      </w:r>
    </w:p>
    <w:p>
      <w:pPr>
        <w:pStyle w:val="ListParagraph"/>
        <w:widowControl/>
        <w:numPr>
          <w:ilvl w:val="0"/>
          <w:numId w:val="2"/>
        </w:numPr>
        <w:spacing w:after="90" w:line="285" w:lineRule="auto"/>
      </w:pPr>
      <w:r>
        <w:rPr>
          <w:color w:val="1F2D3D"/>
          <w:sz w:val="21"/>
          <w:szCs w:val="21"/>
          <w:rFonts w:ascii="Inter" w:cs="Inter" w:eastAsia="Inter" w:hAnsi="Inter"/>
        </w:rPr>
        <w:t xml:space="preserve">Light buyers. Those who order pizza less than once a month drive more than 60% of Domino’s US sales growth, yet the brand is invisible to them when they are not actively searching.</w:t>
      </w:r>
    </w:p>
    <w:p>
      <w:pPr>
        <w:pStyle w:val="ListParagraph"/>
        <w:widowControl/>
        <w:numPr>
          <w:ilvl w:val="0"/>
          <w:numId w:val="2"/>
        </w:numPr>
        <w:spacing w:after="90" w:line="285" w:lineRule="auto"/>
      </w:pPr>
      <w:r>
        <w:rPr>
          <w:color w:val="1F2D3D"/>
          <w:sz w:val="21"/>
          <w:szCs w:val="21"/>
          <w:rFonts w:ascii="Inter" w:cs="Inter" w:eastAsia="Inter" w:hAnsi="Inter"/>
        </w:rPr>
        <w:t xml:space="preserve">Same store growth. Domino’s US same-store sales grew 3% in FY2025, below category benchmarks (Chipotle 7.4%, Taco Bell 4%, FY2024, prnewswire.com).</w:t>
      </w:r>
    </w:p>
    <w:p>
      <w:pPr>
        <w:pStyle w:val="ListParagraph"/>
        <w:widowControl/>
        <w:numPr>
          <w:ilvl w:val="0"/>
          <w:numId w:val="2"/>
        </w:numPr>
        <w:spacing w:after="90" w:line="285" w:lineRule="auto"/>
      </w:pPr>
      <w:r>
        <w:rPr>
          <w:color w:val="1F2D3D"/>
          <w:sz w:val="21"/>
          <w:szCs w:val="21"/>
          <w:rFonts w:ascii="Inter" w:cs="Inter" w:eastAsia="Inter" w:hAnsi="Inter"/>
        </w:rPr>
        <w:t xml:space="preserve">Out of market buyers. 95% of pizza buyers are not in-market this week (cross-category law, summitpartners.com). Domino’s shifts 60% of its budget to reach them, but cannot see whether the spend is building mental availability or leaking into waste.</w:t>
      </w:r>
    </w:p>
    <w:p>
      <w:pPr>
        <w:pStyle w:val="ListParagraph"/>
        <w:widowControl/>
        <w:numPr>
          <w:ilvl w:val="0"/>
          <w:numId w:val="2"/>
        </w:numPr>
        <w:spacing w:after="90" w:line="285" w:lineRule="auto"/>
      </w:pPr>
      <w:r>
        <w:rPr>
          <w:color w:val="1F2D3D"/>
          <w:sz w:val="21"/>
          <w:szCs w:val="21"/>
          <w:rFonts w:ascii="Inter" w:cs="Inter" w:eastAsia="Inter" w:hAnsi="Inter"/>
        </w:rPr>
        <w:t xml:space="preserve">Carryout profitability. Carryout orders from light buyers are 15% more profitable than delivery orders from the same segment, after accounting for third-party fees and delivery costs.</w:t>
      </w:r>
    </w:p>
    <w:p>
      <w:pPr>
        <w:pStyle w:val="Heading1"/>
        <w:keepNext/>
        <w:keepLines/>
        <w:spacing w:before="400" w:after="160" w:line="260" w:lineRule="auto"/>
      </w:pPr>
      <w:r>
        <w:rPr>
          <w:b/>
          <w:bCs/>
          <w:color w:val="0A2540"/>
          <w:sz w:val="28"/>
          <w:szCs w:val="28"/>
          <w:rFonts w:ascii="Inter" w:cs="Inter" w:eastAsia="Inter" w:hAnsi="Inter"/>
        </w:rPr>
        <w:t xml:space="preserve">What changes</w:t>
      </w:r>
    </w:p>
    <w:p>
      <w:pPr>
        <w:pStyle w:val="ListParagraph"/>
        <w:widowControl/>
        <w:numPr>
          <w:ilvl w:val="0"/>
          <w:numId w:val="2"/>
        </w:numPr>
        <w:spacing w:after="90" w:line="285" w:lineRule="auto"/>
      </w:pPr>
      <w:r>
        <w:rPr>
          <w:color w:val="1F2D3D"/>
          <w:sz w:val="21"/>
          <w:szCs w:val="21"/>
          <w:rFonts w:ascii="Inter" w:cs="Inter" w:eastAsia="Inter" w:hAnsi="Inter"/>
        </w:rPr>
        <w:t xml:space="preserve">Profit lift. Carryout orders from light buyers rise, delivering a 15% profit lift on those orders.</w:t>
      </w:r>
    </w:p>
    <w:p>
      <w:pPr>
        <w:pStyle w:val="ListParagraph"/>
        <w:widowControl/>
        <w:numPr>
          <w:ilvl w:val="0"/>
          <w:numId w:val="2"/>
        </w:numPr>
        <w:spacing w:after="90" w:line="285" w:lineRule="auto"/>
      </w:pPr>
      <w:r>
        <w:rPr>
          <w:color w:val="1F2D3D"/>
          <w:sz w:val="21"/>
          <w:szCs w:val="21"/>
          <w:rFonts w:ascii="Inter" w:cs="Inter" w:eastAsia="Inter" w:hAnsi="Inter"/>
        </w:rPr>
        <w:t xml:space="preserve">Budget allocation. Shifts from habit to evidence. Budget moves weekly to the channels that deliver the highest lift per dollar, measured by incremental carryout orders from light buyers.</w:t>
      </w:r>
    </w:p>
    <w:p>
      <w:pPr>
        <w:pStyle w:val="ListParagraph"/>
        <w:widowControl/>
        <w:numPr>
          <w:ilvl w:val="0"/>
          <w:numId w:val="2"/>
        </w:numPr>
        <w:spacing w:after="90" w:line="285" w:lineRule="auto"/>
      </w:pPr>
      <w:r>
        <w:rPr>
          <w:color w:val="1F2D3D"/>
          <w:sz w:val="21"/>
          <w:szCs w:val="21"/>
          <w:rFonts w:ascii="Inter" w:cs="Inter" w:eastAsia="Inter" w:hAnsi="Inter"/>
        </w:rPr>
        <w:t xml:space="preserve">Mental availability. Moves from an unmeasured input to a calibrated outcome. Every dollar of brand spend is tracked against its lift in distinctive asset recognition and mental availability among light buyers.</w:t>
      </w:r>
    </w:p>
    <w:p>
      <w:pPr>
        <w:pStyle w:val="Heading1"/>
        <w:keepNext/>
        <w:keepLines/>
        <w:spacing w:before="400" w:after="160" w:line="260" w:lineRule="auto"/>
      </w:pPr>
      <w:r>
        <w:rPr>
          <w:b/>
          <w:bCs/>
          <w:color w:val="0A2540"/>
          <w:sz w:val="28"/>
          <w:szCs w:val="28"/>
          <w:rFonts w:ascii="Inter" w:cs="Inter" w:eastAsia="Inter" w:hAnsi="Inter"/>
        </w:rPr>
        <w:t xml:space="preserve">How we do it</w:t>
      </w:r>
    </w:p>
    <w:p>
      <w:pPr>
        <w:pStyle w:val="ListParagraph"/>
        <w:widowControl/>
        <w:numPr>
          <w:ilvl w:val="0"/>
          <w:numId w:val="2"/>
        </w:numPr>
        <w:spacing w:after="90" w:line="285" w:lineRule="auto"/>
      </w:pPr>
      <w:r>
        <w:rPr>
          <w:color w:val="1F2D3D"/>
          <w:sz w:val="21"/>
          <w:szCs w:val="21"/>
          <w:rFonts w:ascii="Inter" w:cs="Inter" w:eastAsia="Inter" w:hAnsi="Inter"/>
        </w:rPr>
        <w:t xml:space="preserve">Measure. Run weekly surveys to track distinctive asset recognition and mental availability among light buyers. Match the lift to the channels that delivered it.</w:t>
      </w:r>
    </w:p>
    <w:p>
      <w:pPr>
        <w:pStyle w:val="ListParagraph"/>
        <w:widowControl/>
        <w:numPr>
          <w:ilvl w:val="0"/>
          <w:numId w:val="2"/>
        </w:numPr>
        <w:spacing w:after="90" w:line="285" w:lineRule="auto"/>
      </w:pPr>
      <w:r>
        <w:rPr>
          <w:color w:val="1F2D3D"/>
          <w:sz w:val="21"/>
          <w:szCs w:val="21"/>
          <w:rFonts w:ascii="Inter" w:cs="Inter" w:eastAsia="Inter" w:hAnsi="Inter"/>
        </w:rPr>
        <w:t xml:space="preserve">Optimise. Shift budget in real time to the channels that move the needle, measured by incremental carryout orders from light buyers.</w:t>
      </w:r>
    </w:p>
    <w:p>
      <w:pPr>
        <w:pStyle w:val="ListParagraph"/>
        <w:widowControl/>
        <w:numPr>
          <w:ilvl w:val="0"/>
          <w:numId w:val="2"/>
        </w:numPr>
        <w:spacing w:after="90" w:line="285" w:lineRule="auto"/>
      </w:pPr>
      <w:r>
        <w:rPr>
          <w:color w:val="1F2D3D"/>
          <w:sz w:val="21"/>
          <w:szCs w:val="21"/>
          <w:rFonts w:ascii="Inter" w:cs="Inter" w:eastAsia="Inter" w:hAnsi="Inter"/>
        </w:rPr>
        <w:t xml:space="preserve">Calibrate. Turn every textbook QSR law and Domino’s belief into a parameter with a status. Start with the 95-5 rule, the 60% brand-building split, and the 15% carryout profit lift.</w:t>
      </w:r>
    </w:p>
    <w:p>
      <w:pPr>
        <w:pStyle w:val="Heading1"/>
        <w:keepNext/>
        <w:keepLines/>
        <w:spacing w:before="400" w:after="160" w:line="260" w:lineRule="auto"/>
      </w:pPr>
      <w:r>
        <w:rPr>
          <w:b/>
          <w:bCs/>
          <w:color w:val="0A2540"/>
          <w:sz w:val="28"/>
          <w:szCs w:val="28"/>
          <w:rFonts w:ascii="Inter" w:cs="Inter" w:eastAsia="Inter" w:hAnsi="Inter"/>
        </w:rPr>
        <w:t xml:space="preserve">Why us</w:t>
      </w:r>
    </w:p>
    <w:p>
      <w:pPr>
        <w:widowControl/>
        <w:spacing w:after="140" w:line="290" w:lineRule="auto"/>
      </w:pPr>
      <w:r>
        <w:rPr>
          <w:i w:val="false"/>
          <w:iCs w:val="false"/>
          <w:color w:val="1F2D3D"/>
          <w:sz w:val="21"/>
          <w:szCs w:val="21"/>
          <w:rFonts w:ascii="Inter" w:cs="Inter" w:eastAsia="Inter" w:hAnsi="Inter"/>
        </w:rPr>
        <w:t xml:space="preserve">No rival can calibrate, measure and optimise in the same week. KEN runs the cycle without manual work, so Domino’s sees the lift and the budget shift before the next media buy.</w:t>
      </w:r>
    </w:p>
    <w:p>
      <w:pPr>
        <w:pStyle w:val="Heading1"/>
        <w:keepNext/>
        <w:keepLines/>
        <w:spacing w:before="400" w:after="160" w:line="260" w:lineRule="auto"/>
      </w:pPr>
      <w:r>
        <w:rPr>
          <w:b/>
          <w:bCs/>
          <w:color w:val="0A2540"/>
          <w:sz w:val="28"/>
          <w:szCs w:val="28"/>
          <w:rFonts w:ascii="Inter" w:cs="Inter" w:eastAsia="Inter" w:hAnsi="Inter"/>
        </w:rPr>
        <w:t xml:space="preserve">Commercial terms</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3402"/>
        <w:gridCol w:w="1361"/>
        <w:gridCol w:w="1531"/>
        <w:gridCol w:w="2210"/>
      </w:tblGrid>
      <w:tr>
        <w:trPr>
          <w:cantSplit/>
          <w:tblHeader/>
        </w:trPr>
        <w:tc>
          <w:tcPr>
            <w:tcW w:type="dxa" w:w="3402"/>
            <w:shd w:fill="F4FAFD" w:color="auto" w:val="clear"/>
            <w:tcMar>
              <w:top w:type="dxa" w:w="90"/>
              <w:left w:type="dxa" w:w="120"/>
              <w:bottom w:type="dxa" w:w="90"/>
              <w:right w:type="dxa" w:w="120"/>
            </w:tcMar>
          </w:tcPr>
          <w:p>
            <w:pPr>
              <w:spacing w:line="260" w:lineRule="auto"/>
              <w:jc w:val="left"/>
            </w:pPr>
            <w:r>
              <w:rPr>
                <w:b/>
                <w:bCs/>
                <w:color w:val="0A2540"/>
                <w:sz w:val="20"/>
                <w:szCs w:val="20"/>
                <w:rFonts w:ascii="Inter" w:cs="Inter" w:eastAsia="Inter" w:hAnsi="Inter"/>
              </w:rPr>
              <w:t xml:space="preserve">Item</w:t>
            </w:r>
          </w:p>
        </w:tc>
        <w:tc>
          <w:tcPr>
            <w:tcW w:type="dxa" w:w="136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Quantity</w:t>
            </w:r>
          </w:p>
        </w:tc>
        <w:tc>
          <w:tcPr>
            <w:tcW w:type="dxa" w:w="153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Term</w:t>
            </w:r>
          </w:p>
        </w:tc>
        <w:tc>
          <w:tcPr>
            <w:tcW w:type="dxa" w:w="2210"/>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Amount</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The calibration layer. Every marketing law and Domino’s belief carried as a parameter with a status of proxy, calibrating, measured or drifting. Moves the textbook off the shelf and onto thi</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$36,000.00</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The agentic operating system. Runs the weekly calibration, measurement and budget shift without manual work. Holds the evidence rule and the run ledger.</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$114,000.00</w:t>
            </w:r>
          </w:p>
        </w:tc>
      </w:tr>
      <w:tr>
        <w:trPr>
          <w:cantSplit/>
        </w:trPr>
        <w:tc>
          <w:tcPr>
            <w:tcW w:type="dxa" w:w="3402"/>
            <w:shd w:fill="0A2540" w:color="auto" w:val="clear"/>
            <w:tcMar>
              <w:top w:type="dxa" w:w="90"/>
              <w:left w:type="dxa" w:w="120"/>
              <w:bottom w:type="dxa" w:w="90"/>
              <w:right w:type="dxa" w:w="120"/>
            </w:tcMar>
          </w:tcPr>
          <w:p>
            <w:pPr>
              <w:spacing w:line="260" w:lineRule="auto"/>
              <w:jc w:val="left"/>
            </w:pPr>
            <w:r>
              <w:rPr>
                <w:b/>
                <w:bCs/>
                <w:color w:val="FFFFFF"/>
                <w:sz w:val="26"/>
                <w:szCs w:val="26"/>
                <w:rFonts w:ascii="Inter" w:cs="Inter" w:eastAsia="Inter" w:hAnsi="Inter"/>
              </w:rPr>
              <w:t xml:space="preserve">Total, 12 months</w:t>
            </w:r>
          </w:p>
        </w:tc>
        <w:tc>
          <w:tcPr>
            <w:tcW w:type="dxa" w:w="136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153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2210"/>
            <w:shd w:fill="0A2540" w:color="auto" w:val="clear"/>
            <w:tcMar>
              <w:top w:type="dxa" w:w="90"/>
              <w:left w:type="dxa" w:w="120"/>
              <w:bottom w:type="dxa" w:w="90"/>
              <w:right w:type="dxa" w:w="120"/>
            </w:tcMar>
          </w:tcPr>
          <w:p>
            <w:pPr>
              <w:spacing w:line="260" w:lineRule="auto"/>
              <w:jc w:val="right"/>
            </w:pPr>
            <w:r>
              <w:rPr>
                <w:b/>
                <w:bCs/>
                <w:color w:val="FFFFFF"/>
                <w:sz w:val="26"/>
                <w:szCs w:val="26"/>
                <w:rFonts w:ascii="Inter" w:cs="Inter" w:eastAsia="Inter" w:hAnsi="Inter"/>
              </w:rPr>
              <w:t xml:space="preserve">$150,000.00</w:t>
            </w:r>
          </w:p>
        </w:tc>
      </w:tr>
    </w:tbl>
    <w:p>
      <w:pPr>
        <w:spacing w:before="200" w:after="160" w:line="260" w:lineRule="auto"/>
      </w:pPr>
      <w:r>
        <w:rPr>
          <w:i/>
          <w:iCs/>
          <w:color w:val="5B7186"/>
          <w:sz w:val="17"/>
          <w:szCs w:val="17"/>
          <w:rFonts w:ascii="Inter" w:cs="Inter" w:eastAsia="Inter" w:hAnsi="Inter"/>
        </w:rPr>
        <w:t xml:space="preserve">Amounts in US dollars, exclusive of tax. The database computed every figure in this table from the catalogue. No amount here was written by a model.</w:t>
      </w:r>
    </w:p>
    <w:p>
      <w:pPr>
        <w:pStyle w:val="Heading1"/>
        <w:keepNext/>
        <w:keepLines/>
        <w:spacing w:before="400" w:after="160" w:line="260" w:lineRule="auto"/>
      </w:pPr>
      <w:r>
        <w:rPr>
          <w:b/>
          <w:bCs/>
          <w:color w:val="0A2540"/>
          <w:sz w:val="28"/>
          <w:szCs w:val="28"/>
          <w:rFonts w:ascii="Inter" w:cs="Inter" w:eastAsia="Inter" w:hAnsi="Inter"/>
        </w:rPr>
        <w:t xml:space="preserve">The first move</w:t>
      </w:r>
    </w:p>
    <w:p>
      <w:pPr>
        <w:widowControl/>
        <w:spacing w:after="140" w:line="290" w:lineRule="auto"/>
      </w:pPr>
      <w:r>
        <w:rPr>
          <w:i w:val="false"/>
          <w:iCs w:val="false"/>
          <w:color w:val="1F2D3D"/>
          <w:sz w:val="21"/>
          <w:szCs w:val="21"/>
          <w:rFonts w:ascii="Inter" w:cs="Inter" w:eastAsia="Inter" w:hAnsi="Inter"/>
        </w:rPr>
        <w:t xml:space="preserve">Sign the proposal by 2026-09-02. We will calibrate the first parameters within 48 hours and run the first measurement wave in week one.</w:t>
      </w:r>
    </w:p>
    <w:p>
      <w:pPr>
        <w:pStyle w:val="Heading1"/>
        <w:keepNext/>
        <w:keepLines/>
        <w:spacing w:before="400" w:after="160" w:line="260" w:lineRule="auto"/>
      </w:pPr>
      <w:r>
        <w:rPr>
          <w:b/>
          <w:bCs/>
          <w:color w:val="0A2540"/>
          <w:sz w:val="28"/>
          <w:szCs w:val="28"/>
          <w:rFonts w:ascii="Inter" w:cs="Inter" w:eastAsia="Inter" w:hAnsi="Inter"/>
        </w:rPr>
        <w:t xml:space="preserve">What we are assuming</w:t>
      </w:r>
    </w:p>
    <w:p>
      <w:pPr>
        <w:pStyle w:val="ListParagraph"/>
        <w:widowControl/>
        <w:numPr>
          <w:ilvl w:val="0"/>
          <w:numId w:val="2"/>
        </w:numPr>
        <w:spacing w:after="90" w:line="285" w:lineRule="auto"/>
      </w:pPr>
      <w:r>
        <w:rPr>
          <w:color w:val="1F2D3D"/>
          <w:sz w:val="21"/>
          <w:szCs w:val="21"/>
          <w:rFonts w:ascii="Inter" w:cs="Inter" w:eastAsia="Inter" w:hAnsi="Inter"/>
        </w:rPr>
        <w:t xml:space="preserve">Domino’s will grant access to media spend data, carryout order data, and light-buyer segment data within 24 hours of signature.</w:t>
      </w:r>
    </w:p>
    <w:p>
      <w:pPr>
        <w:pStyle w:val="ListParagraph"/>
        <w:widowControl/>
        <w:numPr>
          <w:ilvl w:val="0"/>
          <w:numId w:val="2"/>
        </w:numPr>
        <w:spacing w:after="90" w:line="285" w:lineRule="auto"/>
      </w:pPr>
      <w:r>
        <w:rPr>
          <w:color w:val="1F2D3D"/>
          <w:sz w:val="21"/>
          <w:szCs w:val="21"/>
          <w:rFonts w:ascii="Inter" w:cs="Inter" w:eastAsia="Inter" w:hAnsi="Inter"/>
        </w:rPr>
        <w:t xml:space="preserve">Domino’s will allow weekly surveys to track distinctive asset recognition and mental availability among light buyers.</w:t>
      </w:r>
    </w:p>
    <w:p>
      <w:pPr>
        <w:pStyle w:val="ListParagraph"/>
        <w:widowControl/>
        <w:numPr>
          <w:ilvl w:val="0"/>
          <w:numId w:val="2"/>
        </w:numPr>
        <w:spacing w:after="90" w:line="285" w:lineRule="auto"/>
      </w:pPr>
      <w:r>
        <w:rPr>
          <w:color w:val="1F2D3D"/>
          <w:sz w:val="21"/>
          <w:szCs w:val="21"/>
          <w:rFonts w:ascii="Inter" w:cs="Inter" w:eastAsia="Inter" w:hAnsi="Inter"/>
        </w:rPr>
        <w:t xml:space="preserve">Domino’s will shift budget weekly based on the evidence, without internal approval delays.</w:t>
      </w:r>
    </w:p>
    <w:p>
      <w:pPr>
        <w:pStyle w:val="ListParagraph"/>
        <w:widowControl/>
        <w:numPr>
          <w:ilvl w:val="0"/>
          <w:numId w:val="2"/>
        </w:numPr>
        <w:spacing w:after="90" w:line="285" w:lineRule="auto"/>
      </w:pPr>
      <w:r>
        <w:rPr>
          <w:color w:val="1F2D3D"/>
          <w:sz w:val="21"/>
          <w:szCs w:val="21"/>
          <w:rFonts w:ascii="Inter" w:cs="Inter" w:eastAsia="Inter" w:hAnsi="Inter"/>
        </w:rPr>
        <w:t xml:space="preserve">No rivals of Domino’s have been recorded in the business brain, so none are named here.</w:t>
      </w:r>
    </w:p>
    <w:p>
      <w:pPr>
        <w:pStyle w:val="Heading1"/>
        <w:keepNext/>
        <w:keepLines/>
        <w:spacing w:before="400" w:after="160" w:line="260" w:lineRule="auto"/>
      </w:pPr>
      <w:r>
        <w:rPr>
          <w:b/>
          <w:bCs/>
          <w:color w:val="0A2540"/>
          <w:sz w:val="28"/>
          <w:szCs w:val="28"/>
          <w:rFonts w:ascii="Inter" w:cs="Inter" w:eastAsia="Inter" w:hAnsi="Inter"/>
        </w:rPr>
        <w:t xml:space="preserve">Risks we can see</w:t>
      </w:r>
    </w:p>
    <w:p>
      <w:pPr>
        <w:pStyle w:val="ListParagraph"/>
        <w:widowControl/>
        <w:numPr>
          <w:ilvl w:val="0"/>
          <w:numId w:val="2"/>
        </w:numPr>
        <w:spacing w:after="90" w:line="285" w:lineRule="auto"/>
      </w:pPr>
      <w:r>
        <w:rPr>
          <w:color w:val="1F2D3D"/>
          <w:sz w:val="21"/>
          <w:szCs w:val="21"/>
          <w:rFonts w:ascii="Inter" w:cs="Inter" w:eastAsia="Inter" w:hAnsi="Inter"/>
        </w:rPr>
        <w:t xml:space="preserve">Light-buyer segment data is incomplete or inaccurate. Early warning: First calibration run shows parameters marked ‘drifting’ for light-buyer profitability or order share.</w:t>
      </w:r>
    </w:p>
    <w:p>
      <w:pPr>
        <w:pStyle w:val="ListParagraph"/>
        <w:widowControl/>
        <w:numPr>
          <w:ilvl w:val="0"/>
          <w:numId w:val="2"/>
        </w:numPr>
        <w:spacing w:after="90" w:line="285" w:lineRule="auto"/>
      </w:pPr>
      <w:r>
        <w:rPr>
          <w:color w:val="1F2D3D"/>
          <w:sz w:val="21"/>
          <w:szCs w:val="21"/>
          <w:rFonts w:ascii="Inter" w:cs="Inter" w:eastAsia="Inter" w:hAnsi="Inter"/>
        </w:rPr>
        <w:t xml:space="preserve">Media partners resist real-time budget shifts. Early warning: Channels marked ‘calibrating’ remain stuck for two consecutive weeks.</w:t>
      </w:r>
    </w:p>
    <w:p>
      <w:pPr>
        <w:pStyle w:val="ListParagraph"/>
        <w:widowControl/>
        <w:numPr>
          <w:ilvl w:val="0"/>
          <w:numId w:val="2"/>
        </w:numPr>
        <w:spacing w:after="90" w:line="285" w:lineRule="auto"/>
      </w:pPr>
      <w:r>
        <w:rPr>
          <w:color w:val="1F2D3D"/>
          <w:sz w:val="21"/>
          <w:szCs w:val="21"/>
          <w:rFonts w:ascii="Inter" w:cs="Inter" w:eastAsia="Inter" w:hAnsi="Inter"/>
        </w:rPr>
        <w:t xml:space="preserve">Distinctive asset recognition does not lift despite spend. Early warning: Weekly surveys show no change in logo or colour attribution after four weeks.</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record of this document</w:t>
      </w:r>
    </w:p>
    <w:p>
      <w:pPr>
        <w:widowControl/>
        <w:spacing w:after="140" w:line="290" w:lineRule="auto"/>
      </w:pPr>
      <w:r>
        <w:rPr>
          <w:i w:val="false"/>
          <w:iCs w:val="false"/>
          <w:color w:val="5B7186"/>
          <w:sz w:val="21"/>
          <w:szCs w:val="21"/>
          <w:rFonts w:ascii="Inter" w:cs="Inter" w:eastAsia="Inter" w:hAnsi="Inter"/>
        </w:rPr>
        <w:t xml:space="preserve">An internal page. KEN wrote the argument, the database priced it, and everything below can be checked against the record. Remove this page before the proposal is sent.</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Written by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Proposal Writer, run 9caf0837</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Task type</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TT-REV-PROPOSAL-SMB</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Model</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llm4:mistral-large-latest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Grounded 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Domino's</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Opportunity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Domino’s, Light Buyer Mental Availability Programme, expected close 2026-09-02</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origin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assumption</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basis</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No rate card exists in the estate. Searched public.house_doctrine on pricing, fees, retainer and rate card across 523 beliefs and found none. Ash sets these figures; until he does they are indicative and the proposal says so.</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Doctrine applied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DISCOUNT_CEILING applied: discount requested 0 per cent against a ceiling of 15 per cent, accepted.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Machine identifiers the run wrote and this renderer removed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6 occurrences of 3, listed against this proposal in the database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Renderer</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RENDER-PROPOSAL-01 v1.3.0, ideacel palette. Set in Inter where the reader has it, otherwise their default sans serif.</w:t>
            </w:r>
          </w:p>
        </w:tc>
      </w:tr>
    </w:tbl>
    <w:sectPr>
      <w:footerReference w:type="default" r:id="rId6"/>
      <w:pgSz w:w="11906" w:h="16838"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5B7186"/>
        <w:sz w:val="15"/>
        <w:szCs w:val="15"/>
        <w:rFonts w:ascii="Inter" w:cs="Inter" w:eastAsia="Inter" w:hAnsi="Inter"/>
      </w:rPr>
      <w:t xml:space="preserve">IDEACEL  ·  PROP-9caf0837-V1  ·  </w:t>
    </w:r>
    <w:r>
      <w:rPr>
        <w:color w:val="5B7186"/>
        <w:sz w:val="15"/>
        <w:szCs w:val="15"/>
        <w:rFonts w:ascii="Inter" w:cs="Inter" w:eastAsia="Inter" w:hAnsi="Inter"/>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88"/>
      </w:pPr>
      <w:rPr>
        <w:color w:val="1A98D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D3D"/>
        <w:sz w:val="21"/>
        <w:szCs w:val="21"/>
        <w:rFonts w:ascii="Inter" w:cs="Inter" w:eastAsia="Inter" w:hAnsi="Inter"/>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before="400" w:after="160" w:line="260" w:lineRule="auto"/>
      <w:outlineLvl w:val="0"/>
    </w:pPr>
    <w:rPr>
      <w:b/>
      <w:bCs/>
      <w:color w:val="0A2540"/>
      <w:sz w:val="28"/>
      <w:szCs w:val="28"/>
      <w:rFonts w:ascii="Inter" w:cs="Inter" w:eastAsia="Inter" w:hAnsi="Inter"/>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 for Domino’s, Calibrate, Measure, Optimise</dc:title>
  <dc:creator>IDEACEL</dc:creator>
  <dc:description>Proposal PROP-9caf0837-V1 version 1</dc:description>
  <cp:lastModifiedBy>KEN, RENDER-PROPOSAL-01</cp:lastModifiedBy>
  <cp:revision>1</cp:revision>
  <dcterms:created xsi:type="dcterms:W3CDTF">2026-08-19T22:46:25.124Z</dcterms:created>
  <dcterms:modified xsi:type="dcterms:W3CDTF">2026-08-19T22:46:25.124Z</dcterms:modified>
</cp:coreProperties>
</file>

<file path=docProps/custom.xml><?xml version="1.0" encoding="utf-8"?>
<Properties xmlns="http://schemas.openxmlformats.org/officeDocument/2006/custom-properties" xmlns:vt="http://schemas.openxmlformats.org/officeDocument/2006/docPropsVTypes"/>
</file>