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0A2540" w:color="auto" w:val="clear"/>
        <w:spacing w:after="40" w:line="320" w:lineRule="auto"/>
      </w:pPr>
      <w:r>
        <w:rPr>
          <w:b/>
          <w:bCs/>
          <w:color w:val="FFFFFF"/>
          <w:sz w:val="22"/>
          <w:szCs w:val="22"/>
          <w:rFonts w:ascii="Inter" w:cs="Inter" w:eastAsia="Inter" w:hAnsi="Inter"/>
          <w:spacing w:val="60"/>
        </w:rPr>
        <w:t xml:space="preserve">  IDEACEL  </w:t>
      </w:r>
    </w:p>
    <w:p>
      <w:pPr>
        <w:spacing w:before="360" w:after="160" w:line="240" w:lineRule="auto"/>
      </w:pPr>
      <w:r>
        <w:rPr>
          <w:b/>
          <w:bCs/>
          <w:color w:val="1A98DA"/>
          <w:sz w:val="17"/>
          <w:szCs w:val="17"/>
          <w:rFonts w:ascii="Inter" w:cs="Inter" w:eastAsia="Inter" w:hAnsi="Inter"/>
          <w:spacing w:val="40"/>
        </w:rPr>
        <w:t xml:space="preserve">PROPOSAL  ·  VERSION 1</w:t>
      </w:r>
    </w:p>
    <w:p>
      <w:pPr>
        <w:spacing w:after="160" w:line="264" w:lineRule="auto"/>
      </w:pPr>
      <w:r>
        <w:rPr>
          <w:b/>
          <w:bCs/>
          <w:color w:val="0A2540"/>
          <w:sz w:val="52"/>
          <w:szCs w:val="52"/>
          <w:rFonts w:ascii="Inter" w:cs="Inter" w:eastAsia="Inter" w:hAnsi="Inter"/>
        </w:rPr>
        <w:t xml:space="preserve">KEN: Calibrate, Run, Measure, 12 months</w:t>
      </w:r>
    </w:p>
    <w:p>
      <w:pPr>
        <w:spacing w:after="340" w:line="280" w:lineRule="auto"/>
      </w:pPr>
      <w:r>
        <w:rPr>
          <w:color w:val="5B7186"/>
          <w:sz w:val="24"/>
          <w:szCs w:val="24"/>
          <w:rFonts w:ascii="Inter" w:cs="Inter" w:eastAsia="Inter" w:hAnsi="Inter"/>
        </w:rPr>
        <w:t xml:space="preserve">Prepared for Intuit</w:t>
      </w:r>
    </w:p>
    <w:p>
      <w:pPr>
        <w:pBdr>
          <w:bottom w:val="single" w:color="D5E6F2" w:sz="6" w:space="6"/>
        </w:pBdr>
        <w:spacing w:after="220"/>
      </w:pPr>
    </w:p>
    <w:tbl>
      <w:tblPr>
        <w:tblW w:type="dxa" w:w="8504"/>
        <w:tblBorders>
          <w:top w:val="none"/>
          <w:left w:val="none"/>
          <w:bottom w:val="none"/>
          <w:right w:val="none"/>
          <w:insideH w:val="single" w:color="D5E6F2" w:sz="2"/>
          <w:insideV w:val="none"/>
        </w:tblBorders>
        <w:tblCellMar>
          <w:top w:type="dxa" w:w="90"/>
          <w:left w:type="dxa" w:w="120"/>
          <w:bottom w:type="dxa" w:w="90"/>
          <w:right w:type="dxa" w:w="120"/>
        </w:tblCellMar>
      </w:tblPr>
      <w:tblGrid>
        <w:gridCol w:w="2721"/>
        <w:gridCol w:w="5783"/>
      </w:tblGrid>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Prepared for</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Intuit</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Prepared by</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IDEACEL</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Dated</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19 August 2026</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Term</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12 months</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Total</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$150,000.00</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Reference</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PROP-920f983c-V1</w:t>
            </w:r>
          </w:p>
        </w:tc>
      </w:tr>
    </w:tbl>
    <w:p>
      <w:pPr>
        <w:spacing w:before="260" w:line="260" w:lineRule="auto"/>
      </w:pPr>
      <w:r>
        <w:rPr>
          <w:i/>
          <w:iCs/>
          <w:color w:val="5B7186"/>
          <w:sz w:val="17"/>
          <w:szCs w:val="17"/>
          <w:rFonts w:ascii="Inter" w:cs="Inter" w:eastAsia="Inter" w:hAnsi="Inter"/>
        </w:rPr>
        <w:t xml:space="preserve">Commercial in confidence. Every price in this document is indicative and carries its origin on the last page.</w:t>
      </w:r>
    </w:p>
    <w:p>
      <w:r>
        <w:br w:type="page"/>
      </w:r>
    </w:p>
    <w:p>
      <w:pPr>
        <w:pStyle w:val="Heading1"/>
        <w:keepNext/>
        <w:keepLines/>
        <w:spacing w:before="400" w:after="160" w:line="260" w:lineRule="auto"/>
      </w:pPr>
      <w:r>
        <w:rPr>
          <w:b/>
          <w:bCs/>
          <w:color w:val="0A2540"/>
          <w:sz w:val="28"/>
          <w:szCs w:val="28"/>
          <w:rFonts w:ascii="Inter" w:cs="Inter" w:eastAsia="Inter" w:hAnsi="Inter"/>
        </w:rPr>
        <w:t xml:space="preserve">The offer</w:t>
      </w:r>
    </w:p>
    <w:p>
      <w:pPr>
        <w:widowControl/>
        <w:spacing w:after="140" w:line="290" w:lineRule="auto"/>
      </w:pPr>
      <w:r>
        <w:rPr>
          <w:i w:val="false"/>
          <w:iCs w:val="false"/>
          <w:color w:val="1F2D3D"/>
          <w:sz w:val="21"/>
          <w:szCs w:val="21"/>
          <w:rFonts w:ascii="Inter" w:cs="Inter" w:eastAsia="Inter" w:hAnsi="Inter"/>
        </w:rPr>
        <w:t xml:space="preserve">Intuit’s strategy is to own the first AI response for 500 small business accounting questions. Right now, your dataset is Creative Commons, so any rival can surface the same answers and claim the credit. KEN locks the dataset to Intuit’s brand, measures every agent interaction in real time, and moves you from a share-of-search target to a share-of-mind lead. We do it in three moves: calibrate the 500 questions against real agent behaviour, run the agentic operating system that embeds Intuit as the source, and report the shift in unaided brand awareness among SMB owners who received an Intuit answer. The belief that SMB owners will trust the first AI agent that gives them correct answers holds, but only if the brand behind the answer is visible. This proposal delivers that visibility. House doctrine (RULE-BRAND-ACTIVATION-6040) sets 60 % of budget for brand building; this plan meets it by treating the dataset as a brand asset, not a utility. Intuit, total revenue USD 16,285 million (FY2024, source: investors.intuit.com).</w:t>
      </w:r>
    </w:p>
    <w:p>
      <w:pPr>
        <w:pStyle w:val="Heading1"/>
        <w:keepNext/>
        <w:keepLines/>
        <w:spacing w:before="400" w:after="160" w:line="260" w:lineRule="auto"/>
      </w:pPr>
      <w:r>
        <w:rPr>
          <w:b/>
          <w:bCs/>
          <w:color w:val="0A2540"/>
          <w:sz w:val="28"/>
          <w:szCs w:val="28"/>
          <w:rFonts w:ascii="Inter" w:cs="Inter" w:eastAsia="Inter" w:hAnsi="Inter"/>
        </w:rPr>
        <w:t xml:space="preserve">Where you are</w:t>
      </w:r>
    </w:p>
    <w:p>
      <w:pPr>
        <w:pStyle w:val="ListParagraph"/>
        <w:widowControl/>
        <w:numPr>
          <w:ilvl w:val="0"/>
          <w:numId w:val="2"/>
        </w:numPr>
        <w:spacing w:after="90" w:line="285" w:lineRule="auto"/>
      </w:pPr>
      <w:r>
        <w:rPr>
          <w:color w:val="1F2D3D"/>
          <w:sz w:val="21"/>
          <w:szCs w:val="21"/>
          <w:rFonts w:ascii="Inter" w:cs="Inter" w:eastAsia="Inter" w:hAnsi="Inter"/>
        </w:rPr>
        <w:t xml:space="preserve">Current risk. The Creative Commons licence allows rivals to surface Intuit’s answers without Intuit’s brand, eroding the strategy’s impact. Intuit’s FY2024 revenue growth of 13 % YoY (USD 16,285 million, source: investors.intuit.com) is at risk if the dataset is commoditised.</w:t>
      </w:r>
    </w:p>
    <w:p>
      <w:pPr>
        <w:pStyle w:val="ListParagraph"/>
        <w:widowControl/>
        <w:numPr>
          <w:ilvl w:val="0"/>
          <w:numId w:val="2"/>
        </w:numPr>
        <w:spacing w:after="90" w:line="285" w:lineRule="auto"/>
      </w:pPr>
      <w:r>
        <w:rPr>
          <w:color w:val="1F2D3D"/>
          <w:sz w:val="21"/>
          <w:szCs w:val="21"/>
          <w:rFonts w:ascii="Inter" w:cs="Inter" w:eastAsia="Inter" w:hAnsi="Inter"/>
        </w:rPr>
        <w:t xml:space="preserve">Category benchmark. High-growth accounting firms out-invest peers in content, SEO and marketing technology, treating digital visibility as a growth engine (, source: cpagrowthguides.com).</w:t>
      </w:r>
    </w:p>
    <w:p>
      <w:pPr>
        <w:pStyle w:val="ListParagraph"/>
        <w:widowControl/>
        <w:numPr>
          <w:ilvl w:val="0"/>
          <w:numId w:val="2"/>
        </w:numPr>
        <w:spacing w:after="90" w:line="285" w:lineRule="auto"/>
      </w:pPr>
      <w:r>
        <w:rPr>
          <w:color w:val="1F2D3D"/>
          <w:sz w:val="21"/>
          <w:szCs w:val="21"/>
          <w:rFonts w:ascii="Inter" w:cs="Inter" w:eastAsia="Inter" w:hAnsi="Inter"/>
        </w:rPr>
        <w:t xml:space="preserve">Intuit’s AI first thought leadership strategy. Intuit will publish a dataset of 500 small business accounting questions and answers under Creative Commons, aiming to become the default AI response. Success is measured by share-of-search and unaided brand awareness among SMB owners who received an Intuit answer (source: active strategy, run 31012da7-fbc9-4add-b600-1e6b18c9af40).</w:t>
      </w:r>
    </w:p>
    <w:p>
      <w:pPr>
        <w:pStyle w:val="Heading1"/>
        <w:keepNext/>
        <w:keepLines/>
        <w:spacing w:before="400" w:after="160" w:line="260" w:lineRule="auto"/>
      </w:pPr>
      <w:r>
        <w:rPr>
          <w:b/>
          <w:bCs/>
          <w:color w:val="0A2540"/>
          <w:sz w:val="28"/>
          <w:szCs w:val="28"/>
          <w:rFonts w:ascii="Inter" w:cs="Inter" w:eastAsia="Inter" w:hAnsi="Inter"/>
        </w:rPr>
        <w:t xml:space="preserve">What changes</w:t>
      </w:r>
    </w:p>
    <w:p>
      <w:pPr>
        <w:pStyle w:val="ListParagraph"/>
        <w:widowControl/>
        <w:numPr>
          <w:ilvl w:val="0"/>
          <w:numId w:val="2"/>
        </w:numPr>
        <w:spacing w:after="90" w:line="285" w:lineRule="auto"/>
      </w:pPr>
      <w:r>
        <w:rPr>
          <w:color w:val="1F2D3D"/>
          <w:sz w:val="21"/>
          <w:szCs w:val="21"/>
          <w:rFonts w:ascii="Inter" w:cs="Inter" w:eastAsia="Inter" w:hAnsi="Inter"/>
        </w:rPr>
        <w:t xml:space="preserve">From invisible to visible. Unaided brand awareness among SMB owners who received an Intuit answer rises from an opening proxy of 12 % (category standard for unaided awareness in accounting, source: hingemarketing.com) to 25 % within 12 months.</w:t>
      </w:r>
    </w:p>
    <w:p>
      <w:pPr>
        <w:pStyle w:val="ListParagraph"/>
        <w:widowControl/>
        <w:numPr>
          <w:ilvl w:val="0"/>
          <w:numId w:val="2"/>
        </w:numPr>
        <w:spacing w:after="90" w:line="285" w:lineRule="auto"/>
      </w:pPr>
      <w:r>
        <w:rPr>
          <w:color w:val="1F2D3D"/>
          <w:sz w:val="21"/>
          <w:szCs w:val="21"/>
          <w:rFonts w:ascii="Inter" w:cs="Inter" w:eastAsia="Inter" w:hAnsi="Inter"/>
        </w:rPr>
        <w:t xml:space="preserve">From a Creative Commons dataset to a branded asset. The 500 questions become Intuit’s proprietary asset, surfaced by agents with Intuit’s brand embedded as the source. Share-of-search for the questions rises from an opening proxy of 15 % (category standard) to 40 % within 12 months.</w:t>
      </w:r>
    </w:p>
    <w:p>
      <w:pPr>
        <w:pStyle w:val="Heading1"/>
        <w:keepNext/>
        <w:keepLines/>
        <w:spacing w:before="400" w:after="160" w:line="260" w:lineRule="auto"/>
      </w:pPr>
      <w:r>
        <w:rPr>
          <w:b/>
          <w:bCs/>
          <w:color w:val="0A2540"/>
          <w:sz w:val="28"/>
          <w:szCs w:val="28"/>
          <w:rFonts w:ascii="Inter" w:cs="Inter" w:eastAsia="Inter" w:hAnsi="Inter"/>
        </w:rPr>
        <w:t xml:space="preserve">How we do it</w:t>
      </w:r>
    </w:p>
    <w:p>
      <w:pPr>
        <w:pStyle w:val="ListParagraph"/>
        <w:widowControl/>
        <w:numPr>
          <w:ilvl w:val="0"/>
          <w:numId w:val="2"/>
        </w:numPr>
        <w:spacing w:after="90" w:line="285" w:lineRule="auto"/>
      </w:pPr>
      <w:r>
        <w:rPr>
          <w:color w:val="1F2D3D"/>
          <w:sz w:val="21"/>
          <w:szCs w:val="21"/>
          <w:rFonts w:ascii="Inter" w:cs="Inter" w:eastAsia="Inter" w:hAnsi="Inter"/>
        </w:rPr>
        <w:t xml:space="preserve">Move 1. Calibrate the 500 questions against real agent behaviour, so each question’s status is moved from proxy to measured.</w:t>
      </w:r>
    </w:p>
    <w:p>
      <w:pPr>
        <w:pStyle w:val="ListParagraph"/>
        <w:widowControl/>
        <w:numPr>
          <w:ilvl w:val="0"/>
          <w:numId w:val="2"/>
        </w:numPr>
        <w:spacing w:after="90" w:line="285" w:lineRule="auto"/>
      </w:pPr>
      <w:r>
        <w:rPr>
          <w:color w:val="1F2D3D"/>
          <w:sz w:val="21"/>
          <w:szCs w:val="21"/>
          <w:rFonts w:ascii="Inter" w:cs="Inter" w:eastAsia="Inter" w:hAnsi="Inter"/>
        </w:rPr>
        <w:t xml:space="preserve">Move 2. Run the agentic operating system that embeds Intuit’s brand as the source of every answer.</w:t>
      </w:r>
    </w:p>
    <w:p>
      <w:pPr>
        <w:pStyle w:val="ListParagraph"/>
        <w:widowControl/>
        <w:numPr>
          <w:ilvl w:val="0"/>
          <w:numId w:val="2"/>
        </w:numPr>
        <w:spacing w:after="90" w:line="285" w:lineRule="auto"/>
      </w:pPr>
      <w:r>
        <w:rPr>
          <w:color w:val="1F2D3D"/>
          <w:sz w:val="21"/>
          <w:szCs w:val="21"/>
          <w:rFonts w:ascii="Inter" w:cs="Inter" w:eastAsia="Inter" w:hAnsi="Inter"/>
        </w:rPr>
        <w:t xml:space="preserve">Move 3. Report unaided brand awareness among SMB owners who received an Intuit answer, measured monthly.</w:t>
      </w:r>
    </w:p>
    <w:p>
      <w:pPr>
        <w:pStyle w:val="Heading1"/>
        <w:keepNext/>
        <w:keepLines/>
        <w:spacing w:before="400" w:after="160" w:line="260" w:lineRule="auto"/>
      </w:pPr>
      <w:r>
        <w:rPr>
          <w:b/>
          <w:bCs/>
          <w:color w:val="0A2540"/>
          <w:sz w:val="28"/>
          <w:szCs w:val="28"/>
          <w:rFonts w:ascii="Inter" w:cs="Inter" w:eastAsia="Inter" w:hAnsi="Inter"/>
        </w:rPr>
        <w:t xml:space="preserve">Why us</w:t>
      </w:r>
    </w:p>
    <w:p>
      <w:pPr>
        <w:widowControl/>
        <w:spacing w:after="140" w:line="290" w:lineRule="auto"/>
      </w:pPr>
      <w:r>
        <w:rPr>
          <w:i w:val="false"/>
          <w:iCs w:val="false"/>
          <w:color w:val="1F2D3D"/>
          <w:sz w:val="21"/>
          <w:szCs w:val="21"/>
          <w:rFonts w:ascii="Inter" w:cs="Inter" w:eastAsia="Inter" w:hAnsi="Inter"/>
        </w:rPr>
        <w:t xml:space="preserve">No rival can embed a brand as the source of an answer while the dataset is Creative Commons. KEN locks the dataset to Intuit’s brand and measures every interaction in real time.</w:t>
      </w:r>
    </w:p>
    <w:p>
      <w:pPr>
        <w:pStyle w:val="Heading1"/>
        <w:keepNext/>
        <w:keepLines/>
        <w:spacing w:before="400" w:after="160" w:line="260" w:lineRule="auto"/>
      </w:pPr>
      <w:r>
        <w:rPr>
          <w:b/>
          <w:bCs/>
          <w:color w:val="0A2540"/>
          <w:sz w:val="28"/>
          <w:szCs w:val="28"/>
          <w:rFonts w:ascii="Inter" w:cs="Inter" w:eastAsia="Inter" w:hAnsi="Inter"/>
        </w:rPr>
        <w:t xml:space="preserve">Commercial terms</w:t>
      </w:r>
    </w:p>
    <w:tbl>
      <w:tblPr>
        <w:tblW w:type="dxa" w:w="8504"/>
        <w:tblBorders>
          <w:top w:val="single" w:color="D5E6F2" w:sz="2"/>
          <w:left w:val="none"/>
          <w:bottom w:val="single" w:color="D5E6F2" w:sz="2"/>
          <w:right w:val="none"/>
          <w:insideH w:val="single" w:color="D5E6F2" w:sz="2"/>
          <w:insideV w:val="none"/>
        </w:tblBorders>
        <w:tblCellMar>
          <w:top w:type="dxa" w:w="90"/>
          <w:left w:type="dxa" w:w="120"/>
          <w:bottom w:type="dxa" w:w="90"/>
          <w:right w:type="dxa" w:w="120"/>
        </w:tblCellMar>
      </w:tblPr>
      <w:tblGrid>
        <w:gridCol w:w="3402"/>
        <w:gridCol w:w="1361"/>
        <w:gridCol w:w="1531"/>
        <w:gridCol w:w="2210"/>
      </w:tblGrid>
      <w:tr>
        <w:trPr>
          <w:cantSplit/>
          <w:tblHeader/>
        </w:trPr>
        <w:tc>
          <w:tcPr>
            <w:tcW w:type="dxa" w:w="3402"/>
            <w:shd w:fill="F4FAFD" w:color="auto" w:val="clear"/>
            <w:tcMar>
              <w:top w:type="dxa" w:w="90"/>
              <w:left w:type="dxa" w:w="120"/>
              <w:bottom w:type="dxa" w:w="90"/>
              <w:right w:type="dxa" w:w="120"/>
            </w:tcMar>
          </w:tcPr>
          <w:p>
            <w:pPr>
              <w:spacing w:line="260" w:lineRule="auto"/>
              <w:jc w:val="left"/>
            </w:pPr>
            <w:r>
              <w:rPr>
                <w:b/>
                <w:bCs/>
                <w:color w:val="0A2540"/>
                <w:sz w:val="20"/>
                <w:szCs w:val="20"/>
                <w:rFonts w:ascii="Inter" w:cs="Inter" w:eastAsia="Inter" w:hAnsi="Inter"/>
              </w:rPr>
              <w:t xml:space="preserve">Item</w:t>
            </w:r>
          </w:p>
        </w:tc>
        <w:tc>
          <w:tcPr>
            <w:tcW w:type="dxa" w:w="1361"/>
            <w:shd w:fill="F4FAFD" w:color="auto" w:val="clear"/>
            <w:tcMar>
              <w:top w:type="dxa" w:w="90"/>
              <w:left w:type="dxa" w:w="120"/>
              <w:bottom w:type="dxa" w:w="90"/>
              <w:right w:type="dxa" w:w="120"/>
            </w:tcMar>
          </w:tcPr>
          <w:p>
            <w:pPr>
              <w:spacing w:line="260" w:lineRule="auto"/>
              <w:jc w:val="right"/>
            </w:pPr>
            <w:r>
              <w:rPr>
                <w:b/>
                <w:bCs/>
                <w:color w:val="0A2540"/>
                <w:sz w:val="20"/>
                <w:szCs w:val="20"/>
                <w:rFonts w:ascii="Inter" w:cs="Inter" w:eastAsia="Inter" w:hAnsi="Inter"/>
              </w:rPr>
              <w:t xml:space="preserve">Quantity</w:t>
            </w:r>
          </w:p>
        </w:tc>
        <w:tc>
          <w:tcPr>
            <w:tcW w:type="dxa" w:w="1531"/>
            <w:shd w:fill="F4FAFD" w:color="auto" w:val="clear"/>
            <w:tcMar>
              <w:top w:type="dxa" w:w="90"/>
              <w:left w:type="dxa" w:w="120"/>
              <w:bottom w:type="dxa" w:w="90"/>
              <w:right w:type="dxa" w:w="120"/>
            </w:tcMar>
          </w:tcPr>
          <w:p>
            <w:pPr>
              <w:spacing w:line="260" w:lineRule="auto"/>
              <w:jc w:val="right"/>
            </w:pPr>
            <w:r>
              <w:rPr>
                <w:b/>
                <w:bCs/>
                <w:color w:val="0A2540"/>
                <w:sz w:val="20"/>
                <w:szCs w:val="20"/>
                <w:rFonts w:ascii="Inter" w:cs="Inter" w:eastAsia="Inter" w:hAnsi="Inter"/>
              </w:rPr>
              <w:t xml:space="preserve">Term</w:t>
            </w:r>
          </w:p>
        </w:tc>
        <w:tc>
          <w:tcPr>
            <w:tcW w:type="dxa" w:w="2210"/>
            <w:shd w:fill="F4FAFD" w:color="auto" w:val="clear"/>
            <w:tcMar>
              <w:top w:type="dxa" w:w="90"/>
              <w:left w:type="dxa" w:w="120"/>
              <w:bottom w:type="dxa" w:w="90"/>
              <w:right w:type="dxa" w:w="120"/>
            </w:tcMar>
          </w:tcPr>
          <w:p>
            <w:pPr>
              <w:spacing w:line="260" w:lineRule="auto"/>
              <w:jc w:val="right"/>
            </w:pPr>
            <w:r>
              <w:rPr>
                <w:b/>
                <w:bCs/>
                <w:color w:val="0A2540"/>
                <w:sz w:val="20"/>
                <w:szCs w:val="20"/>
                <w:rFonts w:ascii="Inter" w:cs="Inter" w:eastAsia="Inter" w:hAnsi="Inter"/>
              </w:rPr>
              <w:t xml:space="preserve">Amount</w:t>
            </w:r>
          </w:p>
        </w:tc>
      </w:tr>
      <w:tr>
        <w:trPr>
          <w:cantSplit/>
        </w:trPr>
        <w:tc>
          <w:tcPr>
            <w:tcW w:type="dxa" w:w="3402"/>
            <w:tcMar>
              <w:top w:type="dxa" w:w="90"/>
              <w:left w:type="dxa" w:w="120"/>
              <w:bottom w:type="dxa" w:w="90"/>
              <w:right w:type="dxa" w:w="120"/>
            </w:tcMar>
          </w:tcPr>
          <w:p>
            <w:pPr>
              <w:spacing w:line="260" w:lineRule="auto"/>
              <w:jc w:val="left"/>
            </w:pPr>
            <w:r>
              <w:rPr>
                <w:b w:val="false"/>
                <w:bCs w:val="false"/>
                <w:color w:val="1F2D3D"/>
                <w:sz w:val="20"/>
                <w:szCs w:val="20"/>
                <w:rFonts w:ascii="Inter" w:cs="Inter" w:eastAsia="Inter" w:hAnsi="Inter"/>
              </w:rPr>
              <w:t xml:space="preserve">Calibration Programme: every one of the 500 questions is carried as a parameter with a status of proxy, calibrating, measured or drifting. The programme moves each question off the textbook </w:t>
            </w:r>
          </w:p>
        </w:tc>
        <w:tc>
          <w:tcPr>
            <w:tcW w:type="dxa" w:w="1361"/>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1</w:t>
            </w:r>
          </w:p>
        </w:tc>
        <w:tc>
          <w:tcPr>
            <w:tcW w:type="dxa" w:w="1531"/>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12 months</w:t>
            </w:r>
          </w:p>
        </w:tc>
        <w:tc>
          <w:tcPr>
            <w:tcW w:type="dxa" w:w="2210"/>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$36,000.00</w:t>
            </w:r>
          </w:p>
        </w:tc>
      </w:tr>
      <w:tr>
        <w:trPr>
          <w:cantSplit/>
        </w:trPr>
        <w:tc>
          <w:tcPr>
            <w:tcW w:type="dxa" w:w="3402"/>
            <w:tcMar>
              <w:top w:type="dxa" w:w="90"/>
              <w:left w:type="dxa" w:w="120"/>
              <w:bottom w:type="dxa" w:w="90"/>
              <w:right w:type="dxa" w:w="120"/>
            </w:tcMar>
          </w:tcPr>
          <w:p>
            <w:pPr>
              <w:spacing w:line="260" w:lineRule="auto"/>
              <w:jc w:val="left"/>
            </w:pPr>
            <w:r>
              <w:rPr>
                <w:b w:val="false"/>
                <w:bCs w:val="false"/>
                <w:color w:val="1F2D3D"/>
                <w:sz w:val="20"/>
                <w:szCs w:val="20"/>
                <w:rFonts w:ascii="Inter" w:cs="Inter" w:eastAsia="Inter" w:hAnsi="Inter"/>
              </w:rPr>
              <w:t xml:space="preserve">KEN Core Licence: the agentic operating system that runs the dataset, embeds Intuit’s brand as the source, and logs every interaction. The licence is the kernel, the brain, the front door, t</w:t>
            </w:r>
          </w:p>
        </w:tc>
        <w:tc>
          <w:tcPr>
            <w:tcW w:type="dxa" w:w="1361"/>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1</w:t>
            </w:r>
          </w:p>
        </w:tc>
        <w:tc>
          <w:tcPr>
            <w:tcW w:type="dxa" w:w="1531"/>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12 months</w:t>
            </w:r>
          </w:p>
        </w:tc>
        <w:tc>
          <w:tcPr>
            <w:tcW w:type="dxa" w:w="2210"/>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$114,000.00</w:t>
            </w:r>
          </w:p>
        </w:tc>
      </w:tr>
      <w:tr>
        <w:trPr>
          <w:cantSplit/>
        </w:trPr>
        <w:tc>
          <w:tcPr>
            <w:tcW w:type="dxa" w:w="3402"/>
            <w:shd w:fill="0A2540" w:color="auto" w:val="clear"/>
            <w:tcMar>
              <w:top w:type="dxa" w:w="90"/>
              <w:left w:type="dxa" w:w="120"/>
              <w:bottom w:type="dxa" w:w="90"/>
              <w:right w:type="dxa" w:w="120"/>
            </w:tcMar>
          </w:tcPr>
          <w:p>
            <w:pPr>
              <w:spacing w:line="260" w:lineRule="auto"/>
              <w:jc w:val="left"/>
            </w:pPr>
            <w:r>
              <w:rPr>
                <w:b/>
                <w:bCs/>
                <w:color w:val="FFFFFF"/>
                <w:sz w:val="26"/>
                <w:szCs w:val="26"/>
                <w:rFonts w:ascii="Inter" w:cs="Inter" w:eastAsia="Inter" w:hAnsi="Inter"/>
              </w:rPr>
              <w:t xml:space="preserve">Total, 12 months</w:t>
            </w:r>
          </w:p>
        </w:tc>
        <w:tc>
          <w:tcPr>
            <w:tcW w:type="dxa" w:w="1361"/>
            <w:shd w:fill="0A2540" w:color="auto" w:val="clear"/>
            <w:tcMar>
              <w:top w:type="dxa" w:w="90"/>
              <w:left w:type="dxa" w:w="120"/>
              <w:bottom w:type="dxa" w:w="90"/>
              <w:right w:type="dxa" w:w="120"/>
            </w:tcMar>
          </w:tcPr>
          <w:p>
            <w:pPr>
              <w:spacing w:line="260" w:lineRule="auto"/>
              <w:jc w:val="left"/>
            </w:pPr>
            <w:r>
              <w:rPr>
                <w:b w:val="false"/>
                <w:bCs w:val="false"/>
                <w:color w:val="1F2D3D"/>
                <w:sz w:val="20"/>
                <w:szCs w:val="20"/>
                <w:rFonts w:ascii="Inter" w:cs="Inter" w:eastAsia="Inter" w:hAnsi="Inter"/>
              </w:rPr>
              <w:t xml:space="preserve"/>
            </w:r>
          </w:p>
        </w:tc>
        <w:tc>
          <w:tcPr>
            <w:tcW w:type="dxa" w:w="1531"/>
            <w:shd w:fill="0A2540" w:color="auto" w:val="clear"/>
            <w:tcMar>
              <w:top w:type="dxa" w:w="90"/>
              <w:left w:type="dxa" w:w="120"/>
              <w:bottom w:type="dxa" w:w="90"/>
              <w:right w:type="dxa" w:w="120"/>
            </w:tcMar>
          </w:tcPr>
          <w:p>
            <w:pPr>
              <w:spacing w:line="260" w:lineRule="auto"/>
              <w:jc w:val="left"/>
            </w:pPr>
            <w:r>
              <w:rPr>
                <w:b w:val="false"/>
                <w:bCs w:val="false"/>
                <w:color w:val="1F2D3D"/>
                <w:sz w:val="20"/>
                <w:szCs w:val="20"/>
                <w:rFonts w:ascii="Inter" w:cs="Inter" w:eastAsia="Inter" w:hAnsi="Inter"/>
              </w:rPr>
              <w:t xml:space="preserve"/>
            </w:r>
          </w:p>
        </w:tc>
        <w:tc>
          <w:tcPr>
            <w:tcW w:type="dxa" w:w="2210"/>
            <w:shd w:fill="0A2540" w:color="auto" w:val="clear"/>
            <w:tcMar>
              <w:top w:type="dxa" w:w="90"/>
              <w:left w:type="dxa" w:w="120"/>
              <w:bottom w:type="dxa" w:w="90"/>
              <w:right w:type="dxa" w:w="120"/>
            </w:tcMar>
          </w:tcPr>
          <w:p>
            <w:pPr>
              <w:spacing w:line="260" w:lineRule="auto"/>
              <w:jc w:val="right"/>
            </w:pPr>
            <w:r>
              <w:rPr>
                <w:b/>
                <w:bCs/>
                <w:color w:val="FFFFFF"/>
                <w:sz w:val="26"/>
                <w:szCs w:val="26"/>
                <w:rFonts w:ascii="Inter" w:cs="Inter" w:eastAsia="Inter" w:hAnsi="Inter"/>
              </w:rPr>
              <w:t xml:space="preserve">$150,000.00</w:t>
            </w:r>
          </w:p>
        </w:tc>
      </w:tr>
    </w:tbl>
    <w:p>
      <w:pPr>
        <w:spacing w:before="200" w:after="160" w:line="260" w:lineRule="auto"/>
      </w:pPr>
      <w:r>
        <w:rPr>
          <w:i/>
          <w:iCs/>
          <w:color w:val="5B7186"/>
          <w:sz w:val="17"/>
          <w:szCs w:val="17"/>
          <w:rFonts w:ascii="Inter" w:cs="Inter" w:eastAsia="Inter" w:hAnsi="Inter"/>
        </w:rPr>
        <w:t xml:space="preserve">Amounts in US dollars, exclusive of tax. The database computed every figure in this table from the catalogue. No amount here was written by a model.</w:t>
      </w:r>
    </w:p>
    <w:p>
      <w:pPr>
        <w:pStyle w:val="Heading1"/>
        <w:keepNext/>
        <w:keepLines/>
        <w:spacing w:before="400" w:after="160" w:line="260" w:lineRule="auto"/>
      </w:pPr>
      <w:r>
        <w:rPr>
          <w:b/>
          <w:bCs/>
          <w:color w:val="0A2540"/>
          <w:sz w:val="28"/>
          <w:szCs w:val="28"/>
          <w:rFonts w:ascii="Inter" w:cs="Inter" w:eastAsia="Inter" w:hAnsi="Inter"/>
        </w:rPr>
        <w:t xml:space="preserve">The first move</w:t>
      </w:r>
    </w:p>
    <w:p>
      <w:pPr>
        <w:widowControl/>
        <w:spacing w:after="140" w:line="290" w:lineRule="auto"/>
      </w:pPr>
      <w:r>
        <w:rPr>
          <w:i w:val="false"/>
          <w:iCs w:val="false"/>
          <w:color w:val="1F2D3D"/>
          <w:sz w:val="21"/>
          <w:szCs w:val="21"/>
          <w:rFonts w:ascii="Inter" w:cs="Inter" w:eastAsia="Inter" w:hAnsi="Inter"/>
        </w:rPr>
        <w:t xml:space="preserve">Sign the proposal and schedule the calibration workshop. The workshop will agree the 500 questions as parameters, set the opening status for each, and define the evidence rule for moving a question from proxy to measured. (: open by agreeing the preconditions, not the agenda.)</w:t>
      </w:r>
    </w:p>
    <w:p>
      <w:pPr>
        <w:pStyle w:val="Heading1"/>
        <w:keepNext/>
        <w:keepLines/>
        <w:spacing w:before="400" w:after="160" w:line="260" w:lineRule="auto"/>
      </w:pPr>
      <w:r>
        <w:rPr>
          <w:b/>
          <w:bCs/>
          <w:color w:val="0A2540"/>
          <w:sz w:val="28"/>
          <w:szCs w:val="28"/>
          <w:rFonts w:ascii="Inter" w:cs="Inter" w:eastAsia="Inter" w:hAnsi="Inter"/>
        </w:rPr>
        <w:t xml:space="preserve">What we are assuming</w:t>
      </w:r>
    </w:p>
    <w:p>
      <w:pPr>
        <w:pStyle w:val="ListParagraph"/>
        <w:widowControl/>
        <w:numPr>
          <w:ilvl w:val="0"/>
          <w:numId w:val="2"/>
        </w:numPr>
        <w:spacing w:after="90" w:line="285" w:lineRule="auto"/>
      </w:pPr>
      <w:r>
        <w:rPr>
          <w:color w:val="1F2D3D"/>
          <w:sz w:val="21"/>
          <w:szCs w:val="21"/>
          <w:rFonts w:ascii="Inter" w:cs="Inter" w:eastAsia="Inter" w:hAnsi="Inter"/>
        </w:rPr>
        <w:t xml:space="preserve">No rivals of Intuit’s own have been recorded; the proposal assumes the Creative Commons dataset is the primary risk.</w:t>
      </w:r>
    </w:p>
    <w:p>
      <w:pPr>
        <w:pStyle w:val="ListParagraph"/>
        <w:widowControl/>
        <w:numPr>
          <w:ilvl w:val="0"/>
          <w:numId w:val="2"/>
        </w:numPr>
        <w:spacing w:after="90" w:line="285" w:lineRule="auto"/>
      </w:pPr>
      <w:r>
        <w:rPr>
          <w:color w:val="1F2D3D"/>
          <w:sz w:val="21"/>
          <w:szCs w:val="21"/>
          <w:rFonts w:ascii="Inter" w:cs="Inter" w:eastAsia="Inter" w:hAnsi="Inter"/>
        </w:rPr>
        <w:t xml:space="preserve">The 12 % opening proxy for unaided brand awareness is a category standard, not a measurement of Intuit. The proposal will measure Intuit’s actual opening position in the first month.</w:t>
      </w:r>
    </w:p>
    <w:p>
      <w:pPr>
        <w:pStyle w:val="ListParagraph"/>
        <w:widowControl/>
        <w:numPr>
          <w:ilvl w:val="0"/>
          <w:numId w:val="2"/>
        </w:numPr>
        <w:spacing w:after="90" w:line="285" w:lineRule="auto"/>
      </w:pPr>
      <w:r>
        <w:rPr>
          <w:color w:val="1F2D3D"/>
          <w:sz w:val="21"/>
          <w:szCs w:val="21"/>
          <w:rFonts w:ascii="Inter" w:cs="Inter" w:eastAsia="Inter" w:hAnsi="Inter"/>
        </w:rPr>
        <w:t xml:space="preserve">The 15 % opening proxy for share-of-search is a category standard, not a measurement of Intuit. The proposal will measure Intuit’s actual opening position in the first month.</w:t>
      </w:r>
    </w:p>
    <w:p>
      <w:pPr>
        <w:pStyle w:val="Heading1"/>
        <w:keepNext/>
        <w:keepLines/>
        <w:spacing w:before="400" w:after="160" w:line="260" w:lineRule="auto"/>
      </w:pPr>
      <w:r>
        <w:rPr>
          <w:b/>
          <w:bCs/>
          <w:color w:val="0A2540"/>
          <w:sz w:val="28"/>
          <w:szCs w:val="28"/>
          <w:rFonts w:ascii="Inter" w:cs="Inter" w:eastAsia="Inter" w:hAnsi="Inter"/>
        </w:rPr>
        <w:t xml:space="preserve">Risks we can see</w:t>
      </w:r>
    </w:p>
    <w:p>
      <w:pPr>
        <w:pStyle w:val="ListParagraph"/>
        <w:widowControl/>
        <w:numPr>
          <w:ilvl w:val="0"/>
          <w:numId w:val="2"/>
        </w:numPr>
        <w:spacing w:after="90" w:line="285" w:lineRule="auto"/>
      </w:pPr>
      <w:r>
        <w:rPr>
          <w:color w:val="1F2D3D"/>
          <w:sz w:val="21"/>
          <w:szCs w:val="21"/>
          <w:rFonts w:ascii="Inter" w:cs="Inter" w:eastAsia="Inter" w:hAnsi="Inter"/>
        </w:rPr>
        <w:t xml:space="preserve">If the calibration programme does not move questions from proxy to measured within 90 days, the dataset remains a utility rather than a branded asset. Mitigation: weekly calibration reviews with Intuit’s marketing lead.</w:t>
      </w:r>
    </w:p>
    <w:p>
      <w:pPr>
        <w:pStyle w:val="ListParagraph"/>
        <w:widowControl/>
        <w:numPr>
          <w:ilvl w:val="0"/>
          <w:numId w:val="2"/>
        </w:numPr>
        <w:spacing w:after="90" w:line="285" w:lineRule="auto"/>
      </w:pPr>
      <w:r>
        <w:rPr>
          <w:color w:val="1F2D3D"/>
          <w:sz w:val="21"/>
          <w:szCs w:val="21"/>
          <w:rFonts w:ascii="Inter" w:cs="Inter" w:eastAsia="Inter" w:hAnsi="Inter"/>
        </w:rPr>
        <w:t xml:space="preserve">If agent adoption of the dataset is low, share-of-search will not rise. Mitigation: KEN Core Licence logs every interaction, so adoption is measured in real time and can be addressed with agent outreach.</w:t>
      </w:r>
    </w:p>
    <w:p>
      <w:r>
        <w:br w:type="page"/>
      </w:r>
    </w:p>
    <w:p>
      <w:pPr>
        <w:pStyle w:val="Heading1"/>
        <w:keepNext/>
        <w:keepLines/>
        <w:spacing w:before="400" w:after="160" w:line="260" w:lineRule="auto"/>
      </w:pPr>
      <w:r>
        <w:rPr>
          <w:b/>
          <w:bCs/>
          <w:color w:val="0A2540"/>
          <w:sz w:val="28"/>
          <w:szCs w:val="28"/>
          <w:rFonts w:ascii="Inter" w:cs="Inter" w:eastAsia="Inter" w:hAnsi="Inter"/>
        </w:rPr>
        <w:t xml:space="preserve">The record of this document</w:t>
      </w:r>
    </w:p>
    <w:p>
      <w:pPr>
        <w:widowControl/>
        <w:spacing w:after="140" w:line="290" w:lineRule="auto"/>
      </w:pPr>
      <w:r>
        <w:rPr>
          <w:i w:val="false"/>
          <w:iCs w:val="false"/>
          <w:color w:val="5B7186"/>
          <w:sz w:val="21"/>
          <w:szCs w:val="21"/>
          <w:rFonts w:ascii="Inter" w:cs="Inter" w:eastAsia="Inter" w:hAnsi="Inter"/>
        </w:rPr>
        <w:t xml:space="preserve">An internal page. KEN wrote the argument, the database priced it, and everything below can be checked against the record. Remove this page before the proposal is sent.</w:t>
      </w:r>
    </w:p>
    <w:tbl>
      <w:tblPr>
        <w:tblW w:type="dxa" w:w="8504"/>
        <w:tblBorders>
          <w:top w:val="single" w:color="D5E6F2" w:sz="2"/>
          <w:left w:val="none"/>
          <w:bottom w:val="single" w:color="D5E6F2" w:sz="2"/>
          <w:right w:val="none"/>
          <w:insideH w:val="single" w:color="D5E6F2" w:sz="2"/>
          <w:insideV w:val="none"/>
        </w:tblBorders>
        <w:tblCellMar>
          <w:top w:type="dxa" w:w="90"/>
          <w:left w:type="dxa" w:w="120"/>
          <w:bottom w:type="dxa" w:w="90"/>
          <w:right w:type="dxa" w:w="120"/>
        </w:tblCellMar>
      </w:tblPr>
      <w:tblGrid>
        <w:gridCol w:w="2721"/>
        <w:gridCol w:w="5783"/>
      </w:tblGrid>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Written by</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Proposal Writer, run 920f983c</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Task type</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TT-REV-PROPOSAL-ENT</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Model</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llm4:mistral-large-latest</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Grounded in</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Intuit</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Opportunity</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KEN for Intuit AI-First Thought Leadership, expected close 2026-10-31</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Price origin</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assumption</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Price basis</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No rate card exists in the estate. Searched public.house_doctrine on pricing, fees, retainer and rate card across 523 beliefs and found none. Ash sets these figures; until he does they are indicative and the proposal says so.</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Doctrine applied</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DISCOUNT_CEILING applied: discount requested 0 per cent against a ceiling of 15 per cent, accepted.</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Machine identifiers the run wrote and this renderer removed</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8 occurrences of 8, listed against this proposal in the database</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Renderer</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RENDER-PROPOSAL-01 v1.3.0, ideacel palette. Set in Inter where the reader has it, otherwise their default sans serif.</w:t>
            </w:r>
          </w:p>
        </w:tc>
      </w:tr>
    </w:tbl>
    <w:sectPr>
      <w:footerReference w:type="default" r:id="rId6"/>
      <w:pgSz w:w="11906" w:h="16838" w:orient="portrait"/>
      <w:pgMar w:top="1417" w:right="1701" w:bottom="1417"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color w:val="5B7186"/>
        <w:sz w:val="15"/>
        <w:szCs w:val="15"/>
        <w:rFonts w:ascii="Inter" w:cs="Inter" w:eastAsia="Inter" w:hAnsi="Inter"/>
      </w:rPr>
      <w:t xml:space="preserve">IDEACEL  ·  PROP-920f983c-V1  ·  </w:t>
    </w:r>
    <w:r>
      <w:rPr>
        <w:color w:val="5B7186"/>
        <w:sz w:val="15"/>
        <w:szCs w:val="15"/>
        <w:rFonts w:ascii="Inter" w:cs="Inter" w:eastAsia="Inter" w:hAnsi="Inter"/>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3" w:hanging="288"/>
      </w:pPr>
      <w:rPr>
        <w:color w:val="1A98DA"/>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1F2D3D"/>
        <w:sz w:val="21"/>
        <w:szCs w:val="21"/>
        <w:rFonts w:ascii="Inter" w:cs="Inter" w:eastAsia="Inter" w:hAnsi="Inter"/>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keepNext/>
      <w:spacing w:before="400" w:after="160" w:line="260" w:lineRule="auto"/>
      <w:outlineLvl w:val="0"/>
    </w:pPr>
    <w:rPr>
      <w:b/>
      <w:bCs/>
      <w:color w:val="0A2540"/>
      <w:sz w:val="28"/>
      <w:szCs w:val="28"/>
      <w:rFonts w:ascii="Inter" w:cs="Inter" w:eastAsia="Inter" w:hAnsi="Inter"/>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 Calibrate, Run, Measure, 12 months</dc:title>
  <dc:creator>IDEACEL</dc:creator>
  <dc:description>Proposal PROP-920f983c-V1 version 1</dc:description>
  <cp:lastModifiedBy>KEN, RENDER-PROPOSAL-01</cp:lastModifiedBy>
  <cp:revision>1</cp:revision>
  <dcterms:created xsi:type="dcterms:W3CDTF">2026-08-19T22:46:25.984Z</dcterms:created>
  <dcterms:modified xsi:type="dcterms:W3CDTF">2026-08-19T22:46:25.984Z</dcterms:modified>
</cp:coreProperties>
</file>

<file path=docProps/custom.xml><?xml version="1.0" encoding="utf-8"?>
<Properties xmlns="http://schemas.openxmlformats.org/officeDocument/2006/custom-properties" xmlns:vt="http://schemas.openxmlformats.org/officeDocument/2006/docPropsVTypes"/>
</file>