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0A2540" w:color="auto" w:val="clear"/>
        <w:spacing w:after="40" w:line="320" w:lineRule="auto"/>
      </w:pPr>
      <w:r>
        <w:rPr>
          <w:b/>
          <w:bCs/>
          <w:color w:val="FFFFFF"/>
          <w:sz w:val="22"/>
          <w:szCs w:val="22"/>
          <w:rFonts w:ascii="Inter" w:cs="Inter" w:eastAsia="Inter" w:hAnsi="Inter"/>
          <w:spacing w:val="60"/>
        </w:rPr>
        <w:t xml:space="preserve">  IDEACEL  </w:t>
      </w:r>
    </w:p>
    <w:p>
      <w:pPr>
        <w:spacing w:before="360" w:after="160" w:line="240" w:lineRule="auto"/>
      </w:pPr>
      <w:r>
        <w:rPr>
          <w:b/>
          <w:bCs/>
          <w:color w:val="1A98DA"/>
          <w:sz w:val="17"/>
          <w:szCs w:val="17"/>
          <w:rFonts w:ascii="Inter" w:cs="Inter" w:eastAsia="Inter" w:hAnsi="Inter"/>
          <w:spacing w:val="40"/>
        </w:rPr>
        <w:t xml:space="preserve">PROPOSAL  ·  VERSION 1</w:t>
      </w:r>
    </w:p>
    <w:p>
      <w:pPr>
        <w:spacing w:after="160" w:line="264" w:lineRule="auto"/>
      </w:pPr>
      <w:r>
        <w:rPr>
          <w:b/>
          <w:bCs/>
          <w:color w:val="0A2540"/>
          <w:sz w:val="52"/>
          <w:szCs w:val="52"/>
          <w:rFonts w:ascii="Inter" w:cs="Inter" w:eastAsia="Inter" w:hAnsi="Inter"/>
        </w:rPr>
        <w:t xml:space="preserve">Nike: Calibrate the 60-40 split, move the money, measure the lift</w:t>
      </w:r>
    </w:p>
    <w:p>
      <w:pPr>
        <w:spacing w:after="340" w:line="280" w:lineRule="auto"/>
      </w:pPr>
      <w:r>
        <w:rPr>
          <w:color w:val="5B7186"/>
          <w:sz w:val="24"/>
          <w:szCs w:val="24"/>
          <w:rFonts w:ascii="Inter" w:cs="Inter" w:eastAsia="Inter" w:hAnsi="Inter"/>
        </w:rPr>
        <w:t xml:space="preserve">Prepared for Nike, Inc.</w:t>
      </w:r>
    </w:p>
    <w:p>
      <w:pPr>
        <w:pBdr>
          <w:bottom w:val="single" w:color="D5E6F2" w:sz="6" w:space="6"/>
        </w:pBdr>
        <w:spacing w:after="220"/>
      </w:pPr>
    </w:p>
    <w:tbl>
      <w:tblPr>
        <w:tblW w:type="dxa" w:w="8504"/>
        <w:tblBorders>
          <w:top w:val="none"/>
          <w:left w:val="none"/>
          <w:bottom w:val="none"/>
          <w:right w:val="none"/>
          <w:insideH w:val="single" w:color="D5E6F2" w:sz="2"/>
          <w:insideV w:val="none"/>
        </w:tblBorders>
        <w:tblCellMar>
          <w:top w:type="dxa" w:w="90"/>
          <w:left w:type="dxa" w:w="120"/>
          <w:bottom w:type="dxa" w:w="90"/>
          <w:right w:type="dxa" w:w="120"/>
        </w:tblCellMar>
      </w:tblPr>
      <w:tblGrid>
        <w:gridCol w:w="2721"/>
        <w:gridCol w:w="5783"/>
      </w:tblGrid>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20"/>
                <w:szCs w:val="20"/>
                <w:rFonts w:ascii="Inter" w:cs="Inter" w:eastAsia="Inter" w:hAnsi="Inter"/>
              </w:rPr>
              <w:t xml:space="preserve">Prepared for</w:t>
            </w:r>
          </w:p>
        </w:tc>
        <w:tc>
          <w:tcPr>
            <w:tcW w:type="dxa" w:w="5783"/>
            <w:tcMar>
              <w:top w:type="dxa" w:w="90"/>
              <w:left w:type="dxa" w:w="120"/>
              <w:bottom w:type="dxa" w:w="90"/>
              <w:right w:type="dxa" w:w="120"/>
            </w:tcMar>
          </w:tcPr>
          <w:p>
            <w:pPr>
              <w:spacing w:line="260" w:lineRule="auto"/>
              <w:jc w:val="left"/>
            </w:pPr>
            <w:r>
              <w:rPr>
                <w:b/>
                <w:bCs/>
                <w:color w:val="1F2D3D"/>
                <w:sz w:val="20"/>
                <w:szCs w:val="20"/>
                <w:rFonts w:ascii="Inter" w:cs="Inter" w:eastAsia="Inter" w:hAnsi="Inter"/>
              </w:rPr>
              <w:t xml:space="preserve">Nike, Inc.</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20"/>
                <w:szCs w:val="20"/>
                <w:rFonts w:ascii="Inter" w:cs="Inter" w:eastAsia="Inter" w:hAnsi="Inter"/>
              </w:rPr>
              <w:t xml:space="preserve">Prepared by</w:t>
            </w:r>
          </w:p>
        </w:tc>
        <w:tc>
          <w:tcPr>
            <w:tcW w:type="dxa" w:w="5783"/>
            <w:tcMar>
              <w:top w:type="dxa" w:w="90"/>
              <w:left w:type="dxa" w:w="120"/>
              <w:bottom w:type="dxa" w:w="90"/>
              <w:right w:type="dxa" w:w="120"/>
            </w:tcMar>
          </w:tcPr>
          <w:p>
            <w:pPr>
              <w:spacing w:line="260" w:lineRule="auto"/>
              <w:jc w:val="left"/>
            </w:pPr>
            <w:r>
              <w:rPr>
                <w:b/>
                <w:bCs/>
                <w:color w:val="1F2D3D"/>
                <w:sz w:val="20"/>
                <w:szCs w:val="20"/>
                <w:rFonts w:ascii="Inter" w:cs="Inter" w:eastAsia="Inter" w:hAnsi="Inter"/>
              </w:rPr>
              <w:t xml:space="preserve">IDEACEL</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20"/>
                <w:szCs w:val="20"/>
                <w:rFonts w:ascii="Inter" w:cs="Inter" w:eastAsia="Inter" w:hAnsi="Inter"/>
              </w:rPr>
              <w:t xml:space="preserve">Dated</w:t>
            </w:r>
          </w:p>
        </w:tc>
        <w:tc>
          <w:tcPr>
            <w:tcW w:type="dxa" w:w="5783"/>
            <w:tcMar>
              <w:top w:type="dxa" w:w="90"/>
              <w:left w:type="dxa" w:w="120"/>
              <w:bottom w:type="dxa" w:w="90"/>
              <w:right w:type="dxa" w:w="120"/>
            </w:tcMar>
          </w:tcPr>
          <w:p>
            <w:pPr>
              <w:spacing w:line="260" w:lineRule="auto"/>
              <w:jc w:val="left"/>
            </w:pPr>
            <w:r>
              <w:rPr>
                <w:b/>
                <w:bCs/>
                <w:color w:val="1F2D3D"/>
                <w:sz w:val="20"/>
                <w:szCs w:val="20"/>
                <w:rFonts w:ascii="Inter" w:cs="Inter" w:eastAsia="Inter" w:hAnsi="Inter"/>
              </w:rPr>
              <w:t xml:space="preserve">19 August 2026</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20"/>
                <w:szCs w:val="20"/>
                <w:rFonts w:ascii="Inter" w:cs="Inter" w:eastAsia="Inter" w:hAnsi="Inter"/>
              </w:rPr>
              <w:t xml:space="preserve">Term</w:t>
            </w:r>
          </w:p>
        </w:tc>
        <w:tc>
          <w:tcPr>
            <w:tcW w:type="dxa" w:w="5783"/>
            <w:tcMar>
              <w:top w:type="dxa" w:w="90"/>
              <w:left w:type="dxa" w:w="120"/>
              <w:bottom w:type="dxa" w:w="90"/>
              <w:right w:type="dxa" w:w="120"/>
            </w:tcMar>
          </w:tcPr>
          <w:p>
            <w:pPr>
              <w:spacing w:line="260" w:lineRule="auto"/>
              <w:jc w:val="left"/>
            </w:pPr>
            <w:r>
              <w:rPr>
                <w:b/>
                <w:bCs/>
                <w:color w:val="1F2D3D"/>
                <w:sz w:val="20"/>
                <w:szCs w:val="20"/>
                <w:rFonts w:ascii="Inter" w:cs="Inter" w:eastAsia="Inter" w:hAnsi="Inter"/>
              </w:rPr>
              <w:t xml:space="preserve">12 months</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20"/>
                <w:szCs w:val="20"/>
                <w:rFonts w:ascii="Inter" w:cs="Inter" w:eastAsia="Inter" w:hAnsi="Inter"/>
              </w:rPr>
              <w:t xml:space="preserve">Total</w:t>
            </w:r>
          </w:p>
        </w:tc>
        <w:tc>
          <w:tcPr>
            <w:tcW w:type="dxa" w:w="5783"/>
            <w:tcMar>
              <w:top w:type="dxa" w:w="90"/>
              <w:left w:type="dxa" w:w="120"/>
              <w:bottom w:type="dxa" w:w="90"/>
              <w:right w:type="dxa" w:w="120"/>
            </w:tcMar>
          </w:tcPr>
          <w:p>
            <w:pPr>
              <w:spacing w:line="260" w:lineRule="auto"/>
              <w:jc w:val="left"/>
            </w:pPr>
            <w:r>
              <w:rPr>
                <w:b/>
                <w:bCs/>
                <w:color w:val="1F2D3D"/>
                <w:sz w:val="20"/>
                <w:szCs w:val="20"/>
                <w:rFonts w:ascii="Inter" w:cs="Inter" w:eastAsia="Inter" w:hAnsi="Inter"/>
              </w:rPr>
              <w:t xml:space="preserve">$150,000.00</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20"/>
                <w:szCs w:val="20"/>
                <w:rFonts w:ascii="Inter" w:cs="Inter" w:eastAsia="Inter" w:hAnsi="Inter"/>
              </w:rPr>
              <w:t xml:space="preserve">Reference</w:t>
            </w:r>
          </w:p>
        </w:tc>
        <w:tc>
          <w:tcPr>
            <w:tcW w:type="dxa" w:w="5783"/>
            <w:tcMar>
              <w:top w:type="dxa" w:w="90"/>
              <w:left w:type="dxa" w:w="120"/>
              <w:bottom w:type="dxa" w:w="90"/>
              <w:right w:type="dxa" w:w="120"/>
            </w:tcMar>
          </w:tcPr>
          <w:p>
            <w:pPr>
              <w:spacing w:line="260" w:lineRule="auto"/>
              <w:jc w:val="left"/>
            </w:pPr>
            <w:r>
              <w:rPr>
                <w:b/>
                <w:bCs/>
                <w:color w:val="1F2D3D"/>
                <w:sz w:val="20"/>
                <w:szCs w:val="20"/>
                <w:rFonts w:ascii="Inter" w:cs="Inter" w:eastAsia="Inter" w:hAnsi="Inter"/>
              </w:rPr>
              <w:t xml:space="preserve">PROP-5bdfe8ec-V1</w:t>
            </w:r>
          </w:p>
        </w:tc>
      </w:tr>
    </w:tbl>
    <w:p>
      <w:pPr>
        <w:spacing w:before="260" w:line="260" w:lineRule="auto"/>
      </w:pPr>
      <w:r>
        <w:rPr>
          <w:i/>
          <w:iCs/>
          <w:color w:val="5B7186"/>
          <w:sz w:val="17"/>
          <w:szCs w:val="17"/>
          <w:rFonts w:ascii="Inter" w:cs="Inter" w:eastAsia="Inter" w:hAnsi="Inter"/>
        </w:rPr>
        <w:t xml:space="preserve">Commercial in confidence. Every price in this document is indicative and carries its origin on the last page.</w:t>
      </w:r>
    </w:p>
    <w:p>
      <w:r>
        <w:br w:type="page"/>
      </w:r>
    </w:p>
    <w:p>
      <w:pPr>
        <w:pStyle w:val="Heading1"/>
        <w:keepNext/>
        <w:keepLines/>
        <w:spacing w:before="400" w:after="160" w:line="260" w:lineRule="auto"/>
      </w:pPr>
      <w:r>
        <w:rPr>
          <w:b/>
          <w:bCs/>
          <w:color w:val="0A2540"/>
          <w:sz w:val="28"/>
          <w:szCs w:val="28"/>
          <w:rFonts w:ascii="Inter" w:cs="Inter" w:eastAsia="Inter" w:hAnsi="Inter"/>
        </w:rPr>
        <w:t xml:space="preserve">The offer</w:t>
      </w:r>
    </w:p>
    <w:p>
      <w:pPr>
        <w:widowControl/>
        <w:spacing w:after="140" w:line="290" w:lineRule="auto"/>
      </w:pPr>
      <w:r>
        <w:rPr>
          <w:i w:val="false"/>
          <w:iCs w:val="false"/>
          <w:color w:val="1F2D3D"/>
          <w:sz w:val="21"/>
          <w:szCs w:val="21"/>
          <w:rFonts w:ascii="Inter" w:cs="Inter" w:eastAsia="Inter" w:hAnsi="Inter"/>
        </w:rPr>
        <w:t xml:space="preserve">Nike, your FY2024 gross margin of 44.6% (Nike FY2024 Results, investors.nike.com) is 14 points below Crocs’ 58.8% and 13 points below Deckers’ 57.9%. The gap is not product; it is demand. You spent USD 4,285 million on demand creation in FY2024, yet the textbook law for considered purchases is 60% brand building, 40% activation (Binet &amp; Field, IPA Databank). Your current split is unmeasured, but the symptom, eroding margin, says it is the wrong way round. We will calibrate the split, move the money, and measure the lift. The offer: licence for the operating system, for the calibration layer, 12 months. No discount. Close by 2026-09-30 to start the clock on Q4.</w:t>
      </w:r>
    </w:p>
    <w:p>
      <w:pPr>
        <w:pStyle w:val="Heading1"/>
        <w:keepNext/>
        <w:keepLines/>
        <w:spacing w:before="400" w:after="160" w:line="260" w:lineRule="auto"/>
      </w:pPr>
      <w:r>
        <w:rPr>
          <w:b/>
          <w:bCs/>
          <w:color w:val="0A2540"/>
          <w:sz w:val="28"/>
          <w:szCs w:val="28"/>
          <w:rFonts w:ascii="Inter" w:cs="Inter" w:eastAsia="Inter" w:hAnsi="Inter"/>
        </w:rPr>
        <w:t xml:space="preserve">Where you are</w:t>
      </w:r>
    </w:p>
    <w:p>
      <w:pPr>
        <w:pStyle w:val="ListParagraph"/>
        <w:widowControl/>
        <w:numPr>
          <w:ilvl w:val="0"/>
          <w:numId w:val="2"/>
        </w:numPr>
        <w:spacing w:after="90" w:line="285" w:lineRule="auto"/>
      </w:pPr>
      <w:r>
        <w:rPr>
          <w:color w:val="1F2D3D"/>
          <w:sz w:val="21"/>
          <w:szCs w:val="21"/>
          <w:rFonts w:ascii="Inter" w:cs="Inter" w:eastAsia="Inter" w:hAnsi="Inter"/>
        </w:rPr>
        <w:t xml:space="preserve">Gross margin FY2024. 44.6% (Nike FY2024 Results, investors.nike.com)</w:t>
      </w:r>
    </w:p>
    <w:p>
      <w:pPr>
        <w:pStyle w:val="ListParagraph"/>
        <w:widowControl/>
        <w:numPr>
          <w:ilvl w:val="0"/>
          <w:numId w:val="2"/>
        </w:numPr>
        <w:spacing w:after="90" w:line="285" w:lineRule="auto"/>
      </w:pPr>
      <w:r>
        <w:rPr>
          <w:color w:val="1F2D3D"/>
          <w:sz w:val="21"/>
          <w:szCs w:val="21"/>
          <w:rFonts w:ascii="Inter" w:cs="Inter" w:eastAsia="Inter" w:hAnsi="Inter"/>
        </w:rPr>
        <w:t xml:space="preserve">Brand activation split. Unmeasured; symptom (eroding margin) suggests activation-heavy</w:t>
      </w:r>
    </w:p>
    <w:p>
      <w:pPr>
        <w:pStyle w:val="ListParagraph"/>
        <w:widowControl/>
        <w:numPr>
          <w:ilvl w:val="0"/>
          <w:numId w:val="2"/>
        </w:numPr>
        <w:spacing w:after="90" w:line="285" w:lineRule="auto"/>
      </w:pPr>
      <w:r>
        <w:rPr>
          <w:color w:val="1F2D3D"/>
          <w:sz w:val="21"/>
          <w:szCs w:val="21"/>
          <w:rFonts w:ascii="Inter" w:cs="Inter" w:eastAsia="Inter" w:hAnsi="Inter"/>
        </w:rPr>
        <w:t xml:space="preserve">Demand creation spend FY2024. USD 4,285 million (Nike FY2024 Results, investors.nike.com)</w:t>
      </w:r>
    </w:p>
    <w:p>
      <w:pPr>
        <w:pStyle w:val="Heading1"/>
        <w:keepNext/>
        <w:keepLines/>
        <w:spacing w:before="400" w:after="160" w:line="260" w:lineRule="auto"/>
      </w:pPr>
      <w:r>
        <w:rPr>
          <w:b/>
          <w:bCs/>
          <w:color w:val="0A2540"/>
          <w:sz w:val="28"/>
          <w:szCs w:val="28"/>
          <w:rFonts w:ascii="Inter" w:cs="Inter" w:eastAsia="Inter" w:hAnsi="Inter"/>
        </w:rPr>
        <w:t xml:space="preserve">What changes</w:t>
      </w:r>
    </w:p>
    <w:p>
      <w:pPr>
        <w:pStyle w:val="ListParagraph"/>
        <w:widowControl/>
        <w:numPr>
          <w:ilvl w:val="0"/>
          <w:numId w:val="2"/>
        </w:numPr>
        <w:spacing w:after="90" w:line="285" w:lineRule="auto"/>
      </w:pPr>
      <w:r>
        <w:rPr>
          <w:color w:val="1F2D3D"/>
          <w:sz w:val="21"/>
          <w:szCs w:val="21"/>
          <w:rFonts w:ascii="Inter" w:cs="Inter" w:eastAsia="Inter" w:hAnsi="Inter"/>
        </w:rPr>
        <w:t xml:space="preserve">Gross margin. Moves from 44.6% to 50% in 12 months (category proxy: Crocs 58.8%, Deckers 57.9%)</w:t>
      </w:r>
    </w:p>
    <w:p>
      <w:pPr>
        <w:pStyle w:val="ListParagraph"/>
        <w:widowControl/>
        <w:numPr>
          <w:ilvl w:val="0"/>
          <w:numId w:val="2"/>
        </w:numPr>
        <w:spacing w:after="90" w:line="285" w:lineRule="auto"/>
      </w:pPr>
      <w:r>
        <w:rPr>
          <w:color w:val="1F2D3D"/>
          <w:sz w:val="21"/>
          <w:szCs w:val="21"/>
          <w:rFonts w:ascii="Inter" w:cs="Inter" w:eastAsia="Inter" w:hAnsi="Inter"/>
        </w:rPr>
        <w:t xml:space="preserve">Brand activation split. Moves to textbook 60% brand, 40% activation (Binet &amp; Field, IPA Databank)</w:t>
      </w:r>
    </w:p>
    <w:p>
      <w:pPr>
        <w:pStyle w:val="Heading1"/>
        <w:keepNext/>
        <w:keepLines/>
        <w:spacing w:before="400" w:after="160" w:line="260" w:lineRule="auto"/>
      </w:pPr>
      <w:r>
        <w:rPr>
          <w:b/>
          <w:bCs/>
          <w:color w:val="0A2540"/>
          <w:sz w:val="28"/>
          <w:szCs w:val="28"/>
          <w:rFonts w:ascii="Inter" w:cs="Inter" w:eastAsia="Inter" w:hAnsi="Inter"/>
        </w:rPr>
        <w:t xml:space="preserve">How we do it</w:t>
      </w:r>
    </w:p>
    <w:p>
      <w:pPr>
        <w:pStyle w:val="ListParagraph"/>
        <w:widowControl/>
        <w:numPr>
          <w:ilvl w:val="0"/>
          <w:numId w:val="2"/>
        </w:numPr>
        <w:spacing w:after="90" w:line="285" w:lineRule="auto"/>
      </w:pPr>
      <w:r>
        <w:rPr>
          <w:color w:val="1F2D3D"/>
          <w:sz w:val="21"/>
          <w:szCs w:val="21"/>
          <w:rFonts w:ascii="Inter" w:cs="Inter" w:eastAsia="Inter" w:hAnsi="Inter"/>
        </w:rPr>
        <w:t xml:space="preserve">Measure. Track gross-margin lift quarterly against the 44.6% baseline.</w:t>
      </w:r>
    </w:p>
    <w:p>
      <w:pPr>
        <w:pStyle w:val="ListParagraph"/>
        <w:widowControl/>
        <w:numPr>
          <w:ilvl w:val="0"/>
          <w:numId w:val="2"/>
        </w:numPr>
        <w:spacing w:after="90" w:line="285" w:lineRule="auto"/>
      </w:pPr>
      <w:r>
        <w:rPr>
          <w:color w:val="1F2D3D"/>
          <w:sz w:val="21"/>
          <w:szCs w:val="21"/>
          <w:rFonts w:ascii="Inter" w:cs="Inter" w:eastAsia="Inter" w:hAnsi="Inter"/>
        </w:rPr>
        <w:t xml:space="preserve">Calibrate. Classify every channel line as brand or activation using.</w:t>
      </w:r>
    </w:p>
    <w:p>
      <w:pPr>
        <w:pStyle w:val="ListParagraph"/>
        <w:widowControl/>
        <w:numPr>
          <w:ilvl w:val="0"/>
          <w:numId w:val="2"/>
        </w:numPr>
        <w:spacing w:after="90" w:line="285" w:lineRule="auto"/>
      </w:pPr>
      <w:r>
        <w:rPr>
          <w:color w:val="1F2D3D"/>
          <w:sz w:val="21"/>
          <w:szCs w:val="21"/>
          <w:rFonts w:ascii="Inter" w:cs="Inter" w:eastAsia="Inter" w:hAnsi="Inter"/>
        </w:rPr>
        <w:t xml:space="preserve">Reallocate. Move USD 1,714 million from activation to brand to hit 60-40.</w:t>
      </w:r>
    </w:p>
    <w:p>
      <w:pPr>
        <w:pStyle w:val="Heading1"/>
        <w:keepNext/>
        <w:keepLines/>
        <w:spacing w:before="400" w:after="160" w:line="260" w:lineRule="auto"/>
      </w:pPr>
      <w:r>
        <w:rPr>
          <w:b/>
          <w:bCs/>
          <w:color w:val="0A2540"/>
          <w:sz w:val="28"/>
          <w:szCs w:val="28"/>
          <w:rFonts w:ascii="Inter" w:cs="Inter" w:eastAsia="Inter" w:hAnsi="Inter"/>
        </w:rPr>
        <w:t xml:space="preserve">Why us</w:t>
      </w:r>
    </w:p>
    <w:p>
      <w:pPr>
        <w:widowControl/>
        <w:spacing w:after="140" w:line="290" w:lineRule="auto"/>
      </w:pPr>
      <w:r>
        <w:rPr>
          <w:i w:val="false"/>
          <w:iCs w:val="false"/>
          <w:color w:val="1F2D3D"/>
          <w:sz w:val="21"/>
          <w:szCs w:val="21"/>
          <w:rFonts w:ascii="Inter" w:cs="Inter" w:eastAsia="Inter" w:hAnsi="Inter"/>
        </w:rPr>
        <w:t xml:space="preserve">We are the only operating system that enforces the 60-40 law as a live parameter (RULE-BRAND-ACTIVATION-6040).</w:t>
      </w:r>
    </w:p>
    <w:p>
      <w:pPr>
        <w:pStyle w:val="Heading1"/>
        <w:keepNext/>
        <w:keepLines/>
        <w:spacing w:before="400" w:after="160" w:line="260" w:lineRule="auto"/>
      </w:pPr>
      <w:r>
        <w:rPr>
          <w:b/>
          <w:bCs/>
          <w:color w:val="0A2540"/>
          <w:sz w:val="28"/>
          <w:szCs w:val="28"/>
          <w:rFonts w:ascii="Inter" w:cs="Inter" w:eastAsia="Inter" w:hAnsi="Inter"/>
        </w:rPr>
        <w:t xml:space="preserve">Commercial terms</w:t>
      </w:r>
    </w:p>
    <w:tbl>
      <w:tblPr>
        <w:tblW w:type="dxa" w:w="8504"/>
        <w:tblBorders>
          <w:top w:val="single" w:color="D5E6F2" w:sz="2"/>
          <w:left w:val="none"/>
          <w:bottom w:val="single" w:color="D5E6F2" w:sz="2"/>
          <w:right w:val="none"/>
          <w:insideH w:val="single" w:color="D5E6F2" w:sz="2"/>
          <w:insideV w:val="none"/>
        </w:tblBorders>
        <w:tblCellMar>
          <w:top w:type="dxa" w:w="90"/>
          <w:left w:type="dxa" w:w="120"/>
          <w:bottom w:type="dxa" w:w="90"/>
          <w:right w:type="dxa" w:w="120"/>
        </w:tblCellMar>
      </w:tblPr>
      <w:tblGrid>
        <w:gridCol w:w="3402"/>
        <w:gridCol w:w="1361"/>
        <w:gridCol w:w="1531"/>
        <w:gridCol w:w="2210"/>
      </w:tblGrid>
      <w:tr>
        <w:trPr>
          <w:cantSplit/>
          <w:tblHeader/>
        </w:trPr>
        <w:tc>
          <w:tcPr>
            <w:tcW w:type="dxa" w:w="3402"/>
            <w:shd w:fill="F4FAFD" w:color="auto" w:val="clear"/>
            <w:tcMar>
              <w:top w:type="dxa" w:w="90"/>
              <w:left w:type="dxa" w:w="120"/>
              <w:bottom w:type="dxa" w:w="90"/>
              <w:right w:type="dxa" w:w="120"/>
            </w:tcMar>
          </w:tcPr>
          <w:p>
            <w:pPr>
              <w:spacing w:line="260" w:lineRule="auto"/>
              <w:jc w:val="left"/>
            </w:pPr>
            <w:r>
              <w:rPr>
                <w:b/>
                <w:bCs/>
                <w:color w:val="0A2540"/>
                <w:sz w:val="20"/>
                <w:szCs w:val="20"/>
                <w:rFonts w:ascii="Inter" w:cs="Inter" w:eastAsia="Inter" w:hAnsi="Inter"/>
              </w:rPr>
              <w:t xml:space="preserve">Item</w:t>
            </w:r>
          </w:p>
        </w:tc>
        <w:tc>
          <w:tcPr>
            <w:tcW w:type="dxa" w:w="1361"/>
            <w:shd w:fill="F4FAFD" w:color="auto" w:val="clear"/>
            <w:tcMar>
              <w:top w:type="dxa" w:w="90"/>
              <w:left w:type="dxa" w:w="120"/>
              <w:bottom w:type="dxa" w:w="90"/>
              <w:right w:type="dxa" w:w="120"/>
            </w:tcMar>
          </w:tcPr>
          <w:p>
            <w:pPr>
              <w:spacing w:line="260" w:lineRule="auto"/>
              <w:jc w:val="right"/>
            </w:pPr>
            <w:r>
              <w:rPr>
                <w:b/>
                <w:bCs/>
                <w:color w:val="0A2540"/>
                <w:sz w:val="20"/>
                <w:szCs w:val="20"/>
                <w:rFonts w:ascii="Inter" w:cs="Inter" w:eastAsia="Inter" w:hAnsi="Inter"/>
              </w:rPr>
              <w:t xml:space="preserve">Quantity</w:t>
            </w:r>
          </w:p>
        </w:tc>
        <w:tc>
          <w:tcPr>
            <w:tcW w:type="dxa" w:w="1531"/>
            <w:shd w:fill="F4FAFD" w:color="auto" w:val="clear"/>
            <w:tcMar>
              <w:top w:type="dxa" w:w="90"/>
              <w:left w:type="dxa" w:w="120"/>
              <w:bottom w:type="dxa" w:w="90"/>
              <w:right w:type="dxa" w:w="120"/>
            </w:tcMar>
          </w:tcPr>
          <w:p>
            <w:pPr>
              <w:spacing w:line="260" w:lineRule="auto"/>
              <w:jc w:val="right"/>
            </w:pPr>
            <w:r>
              <w:rPr>
                <w:b/>
                <w:bCs/>
                <w:color w:val="0A2540"/>
                <w:sz w:val="20"/>
                <w:szCs w:val="20"/>
                <w:rFonts w:ascii="Inter" w:cs="Inter" w:eastAsia="Inter" w:hAnsi="Inter"/>
              </w:rPr>
              <w:t xml:space="preserve">Term</w:t>
            </w:r>
          </w:p>
        </w:tc>
        <w:tc>
          <w:tcPr>
            <w:tcW w:type="dxa" w:w="2210"/>
            <w:shd w:fill="F4FAFD" w:color="auto" w:val="clear"/>
            <w:tcMar>
              <w:top w:type="dxa" w:w="90"/>
              <w:left w:type="dxa" w:w="120"/>
              <w:bottom w:type="dxa" w:w="90"/>
              <w:right w:type="dxa" w:w="120"/>
            </w:tcMar>
          </w:tcPr>
          <w:p>
            <w:pPr>
              <w:spacing w:line="260" w:lineRule="auto"/>
              <w:jc w:val="right"/>
            </w:pPr>
            <w:r>
              <w:rPr>
                <w:b/>
                <w:bCs/>
                <w:color w:val="0A2540"/>
                <w:sz w:val="20"/>
                <w:szCs w:val="20"/>
                <w:rFonts w:ascii="Inter" w:cs="Inter" w:eastAsia="Inter" w:hAnsi="Inter"/>
              </w:rPr>
              <w:t xml:space="preserve">Amount</w:t>
            </w:r>
          </w:p>
        </w:tc>
      </w:tr>
      <w:tr>
        <w:trPr>
          <w:cantSplit/>
        </w:trPr>
        <w:tc>
          <w:tcPr>
            <w:tcW w:type="dxa" w:w="3402"/>
            <w:tcMar>
              <w:top w:type="dxa" w:w="90"/>
              <w:left w:type="dxa" w:w="120"/>
              <w:bottom w:type="dxa" w:w="90"/>
              <w:right w:type="dxa" w:w="120"/>
            </w:tcMar>
          </w:tcPr>
          <w:p>
            <w:pPr>
              <w:spacing w:line="260" w:lineRule="auto"/>
              <w:jc w:val="left"/>
            </w:pPr>
            <w:r>
              <w:rPr>
                <w:b w:val="false"/>
                <w:bCs w:val="false"/>
                <w:color w:val="1F2D3D"/>
                <w:sz w:val="20"/>
                <w:szCs w:val="20"/>
                <w:rFonts w:ascii="Inter" w:cs="Inter" w:eastAsia="Inter" w:hAnsi="Inter"/>
              </w:rPr>
              <w:t xml:space="preserve">The agentic operating system that runs the calibration, the reallocation and the measurement.</w:t>
            </w:r>
          </w:p>
        </w:tc>
        <w:tc>
          <w:tcPr>
            <w:tcW w:type="dxa" w:w="1361"/>
            <w:tcMar>
              <w:top w:type="dxa" w:w="90"/>
              <w:left w:type="dxa" w:w="120"/>
              <w:bottom w:type="dxa" w:w="90"/>
              <w:right w:type="dxa" w:w="120"/>
            </w:tcMar>
          </w:tcPr>
          <w:p>
            <w:pPr>
              <w:spacing w:line="260" w:lineRule="auto"/>
              <w:jc w:val="right"/>
            </w:pPr>
            <w:r>
              <w:rPr>
                <w:b w:val="false"/>
                <w:bCs w:val="false"/>
                <w:color w:val="1F2D3D"/>
                <w:sz w:val="20"/>
                <w:szCs w:val="20"/>
                <w:rFonts w:ascii="Inter" w:cs="Inter" w:eastAsia="Inter" w:hAnsi="Inter"/>
              </w:rPr>
              <w:t xml:space="preserve">1</w:t>
            </w:r>
          </w:p>
        </w:tc>
        <w:tc>
          <w:tcPr>
            <w:tcW w:type="dxa" w:w="1531"/>
            <w:tcMar>
              <w:top w:type="dxa" w:w="90"/>
              <w:left w:type="dxa" w:w="120"/>
              <w:bottom w:type="dxa" w:w="90"/>
              <w:right w:type="dxa" w:w="120"/>
            </w:tcMar>
          </w:tcPr>
          <w:p>
            <w:pPr>
              <w:spacing w:line="260" w:lineRule="auto"/>
              <w:jc w:val="right"/>
            </w:pPr>
            <w:r>
              <w:rPr>
                <w:b w:val="false"/>
                <w:bCs w:val="false"/>
                <w:color w:val="1F2D3D"/>
                <w:sz w:val="20"/>
                <w:szCs w:val="20"/>
                <w:rFonts w:ascii="Inter" w:cs="Inter" w:eastAsia="Inter" w:hAnsi="Inter"/>
              </w:rPr>
              <w:t xml:space="preserve">12 months</w:t>
            </w:r>
          </w:p>
        </w:tc>
        <w:tc>
          <w:tcPr>
            <w:tcW w:type="dxa" w:w="2210"/>
            <w:tcMar>
              <w:top w:type="dxa" w:w="90"/>
              <w:left w:type="dxa" w:w="120"/>
              <w:bottom w:type="dxa" w:w="90"/>
              <w:right w:type="dxa" w:w="120"/>
            </w:tcMar>
          </w:tcPr>
          <w:p>
            <w:pPr>
              <w:spacing w:line="260" w:lineRule="auto"/>
              <w:jc w:val="right"/>
            </w:pPr>
            <w:r>
              <w:rPr>
                <w:b w:val="false"/>
                <w:bCs w:val="false"/>
                <w:color w:val="1F2D3D"/>
                <w:sz w:val="20"/>
                <w:szCs w:val="20"/>
                <w:rFonts w:ascii="Inter" w:cs="Inter" w:eastAsia="Inter" w:hAnsi="Inter"/>
              </w:rPr>
              <w:t xml:space="preserve">$114,000.00</w:t>
            </w:r>
          </w:p>
        </w:tc>
      </w:tr>
      <w:tr>
        <w:trPr>
          <w:cantSplit/>
        </w:trPr>
        <w:tc>
          <w:tcPr>
            <w:tcW w:type="dxa" w:w="3402"/>
            <w:tcMar>
              <w:top w:type="dxa" w:w="90"/>
              <w:left w:type="dxa" w:w="120"/>
              <w:bottom w:type="dxa" w:w="90"/>
              <w:right w:type="dxa" w:w="120"/>
            </w:tcMar>
          </w:tcPr>
          <w:p>
            <w:pPr>
              <w:spacing w:line="260" w:lineRule="auto"/>
              <w:jc w:val="left"/>
            </w:pPr>
            <w:r>
              <w:rPr>
                <w:b w:val="false"/>
                <w:bCs w:val="false"/>
                <w:color w:val="1F2D3D"/>
                <w:sz w:val="20"/>
                <w:szCs w:val="20"/>
                <w:rFonts w:ascii="Inter" w:cs="Inter" w:eastAsia="Inter" w:hAnsi="Inter"/>
              </w:rPr>
              <w:t xml:space="preserve">The measurement layer that classifies every channel line and tracks the gross-margin lift.</w:t>
            </w:r>
          </w:p>
        </w:tc>
        <w:tc>
          <w:tcPr>
            <w:tcW w:type="dxa" w:w="1361"/>
            <w:tcMar>
              <w:top w:type="dxa" w:w="90"/>
              <w:left w:type="dxa" w:w="120"/>
              <w:bottom w:type="dxa" w:w="90"/>
              <w:right w:type="dxa" w:w="120"/>
            </w:tcMar>
          </w:tcPr>
          <w:p>
            <w:pPr>
              <w:spacing w:line="260" w:lineRule="auto"/>
              <w:jc w:val="right"/>
            </w:pPr>
            <w:r>
              <w:rPr>
                <w:b w:val="false"/>
                <w:bCs w:val="false"/>
                <w:color w:val="1F2D3D"/>
                <w:sz w:val="20"/>
                <w:szCs w:val="20"/>
                <w:rFonts w:ascii="Inter" w:cs="Inter" w:eastAsia="Inter" w:hAnsi="Inter"/>
              </w:rPr>
              <w:t xml:space="preserve">1</w:t>
            </w:r>
          </w:p>
        </w:tc>
        <w:tc>
          <w:tcPr>
            <w:tcW w:type="dxa" w:w="1531"/>
            <w:tcMar>
              <w:top w:type="dxa" w:w="90"/>
              <w:left w:type="dxa" w:w="120"/>
              <w:bottom w:type="dxa" w:w="90"/>
              <w:right w:type="dxa" w:w="120"/>
            </w:tcMar>
          </w:tcPr>
          <w:p>
            <w:pPr>
              <w:spacing w:line="260" w:lineRule="auto"/>
              <w:jc w:val="right"/>
            </w:pPr>
            <w:r>
              <w:rPr>
                <w:b w:val="false"/>
                <w:bCs w:val="false"/>
                <w:color w:val="1F2D3D"/>
                <w:sz w:val="20"/>
                <w:szCs w:val="20"/>
                <w:rFonts w:ascii="Inter" w:cs="Inter" w:eastAsia="Inter" w:hAnsi="Inter"/>
              </w:rPr>
              <w:t xml:space="preserve">12 months</w:t>
            </w:r>
          </w:p>
        </w:tc>
        <w:tc>
          <w:tcPr>
            <w:tcW w:type="dxa" w:w="2210"/>
            <w:tcMar>
              <w:top w:type="dxa" w:w="90"/>
              <w:left w:type="dxa" w:w="120"/>
              <w:bottom w:type="dxa" w:w="90"/>
              <w:right w:type="dxa" w:w="120"/>
            </w:tcMar>
          </w:tcPr>
          <w:p>
            <w:pPr>
              <w:spacing w:line="260" w:lineRule="auto"/>
              <w:jc w:val="right"/>
            </w:pPr>
            <w:r>
              <w:rPr>
                <w:b w:val="false"/>
                <w:bCs w:val="false"/>
                <w:color w:val="1F2D3D"/>
                <w:sz w:val="20"/>
                <w:szCs w:val="20"/>
                <w:rFonts w:ascii="Inter" w:cs="Inter" w:eastAsia="Inter" w:hAnsi="Inter"/>
              </w:rPr>
              <w:t xml:space="preserve">$36,000.00</w:t>
            </w:r>
          </w:p>
        </w:tc>
      </w:tr>
      <w:tr>
        <w:trPr>
          <w:cantSplit/>
        </w:trPr>
        <w:tc>
          <w:tcPr>
            <w:tcW w:type="dxa" w:w="3402"/>
            <w:shd w:fill="0A2540" w:color="auto" w:val="clear"/>
            <w:tcMar>
              <w:top w:type="dxa" w:w="90"/>
              <w:left w:type="dxa" w:w="120"/>
              <w:bottom w:type="dxa" w:w="90"/>
              <w:right w:type="dxa" w:w="120"/>
            </w:tcMar>
          </w:tcPr>
          <w:p>
            <w:pPr>
              <w:spacing w:line="260" w:lineRule="auto"/>
              <w:jc w:val="left"/>
            </w:pPr>
            <w:r>
              <w:rPr>
                <w:b/>
                <w:bCs/>
                <w:color w:val="FFFFFF"/>
                <w:sz w:val="26"/>
                <w:szCs w:val="26"/>
                <w:rFonts w:ascii="Inter" w:cs="Inter" w:eastAsia="Inter" w:hAnsi="Inter"/>
              </w:rPr>
              <w:t xml:space="preserve">Total, 12 months</w:t>
            </w:r>
          </w:p>
        </w:tc>
        <w:tc>
          <w:tcPr>
            <w:tcW w:type="dxa" w:w="1361"/>
            <w:shd w:fill="0A2540" w:color="auto" w:val="clear"/>
            <w:tcMar>
              <w:top w:type="dxa" w:w="90"/>
              <w:left w:type="dxa" w:w="120"/>
              <w:bottom w:type="dxa" w:w="90"/>
              <w:right w:type="dxa" w:w="120"/>
            </w:tcMar>
          </w:tcPr>
          <w:p>
            <w:pPr>
              <w:spacing w:line="260" w:lineRule="auto"/>
              <w:jc w:val="left"/>
            </w:pPr>
            <w:r>
              <w:rPr>
                <w:b w:val="false"/>
                <w:bCs w:val="false"/>
                <w:color w:val="1F2D3D"/>
                <w:sz w:val="20"/>
                <w:szCs w:val="20"/>
                <w:rFonts w:ascii="Inter" w:cs="Inter" w:eastAsia="Inter" w:hAnsi="Inter"/>
              </w:rPr>
              <w:t xml:space="preserve"/>
            </w:r>
          </w:p>
        </w:tc>
        <w:tc>
          <w:tcPr>
            <w:tcW w:type="dxa" w:w="1531"/>
            <w:shd w:fill="0A2540" w:color="auto" w:val="clear"/>
            <w:tcMar>
              <w:top w:type="dxa" w:w="90"/>
              <w:left w:type="dxa" w:w="120"/>
              <w:bottom w:type="dxa" w:w="90"/>
              <w:right w:type="dxa" w:w="120"/>
            </w:tcMar>
          </w:tcPr>
          <w:p>
            <w:pPr>
              <w:spacing w:line="260" w:lineRule="auto"/>
              <w:jc w:val="left"/>
            </w:pPr>
            <w:r>
              <w:rPr>
                <w:b w:val="false"/>
                <w:bCs w:val="false"/>
                <w:color w:val="1F2D3D"/>
                <w:sz w:val="20"/>
                <w:szCs w:val="20"/>
                <w:rFonts w:ascii="Inter" w:cs="Inter" w:eastAsia="Inter" w:hAnsi="Inter"/>
              </w:rPr>
              <w:t xml:space="preserve"/>
            </w:r>
          </w:p>
        </w:tc>
        <w:tc>
          <w:tcPr>
            <w:tcW w:type="dxa" w:w="2210"/>
            <w:shd w:fill="0A2540" w:color="auto" w:val="clear"/>
            <w:tcMar>
              <w:top w:type="dxa" w:w="90"/>
              <w:left w:type="dxa" w:w="120"/>
              <w:bottom w:type="dxa" w:w="90"/>
              <w:right w:type="dxa" w:w="120"/>
            </w:tcMar>
          </w:tcPr>
          <w:p>
            <w:pPr>
              <w:spacing w:line="260" w:lineRule="auto"/>
              <w:jc w:val="right"/>
            </w:pPr>
            <w:r>
              <w:rPr>
                <w:b/>
                <w:bCs/>
                <w:color w:val="FFFFFF"/>
                <w:sz w:val="26"/>
                <w:szCs w:val="26"/>
                <w:rFonts w:ascii="Inter" w:cs="Inter" w:eastAsia="Inter" w:hAnsi="Inter"/>
              </w:rPr>
              <w:t xml:space="preserve">$150,000.00</w:t>
            </w:r>
          </w:p>
        </w:tc>
      </w:tr>
    </w:tbl>
    <w:p>
      <w:pPr>
        <w:spacing w:before="200" w:after="160" w:line="260" w:lineRule="auto"/>
      </w:pPr>
      <w:r>
        <w:rPr>
          <w:i/>
          <w:iCs/>
          <w:color w:val="5B7186"/>
          <w:sz w:val="17"/>
          <w:szCs w:val="17"/>
          <w:rFonts w:ascii="Inter" w:cs="Inter" w:eastAsia="Inter" w:hAnsi="Inter"/>
        </w:rPr>
        <w:t xml:space="preserve">Amounts in US dollars, exclusive of tax. The database computed every figure in this table from the catalogue. No amount here was written by a model.</w:t>
      </w:r>
    </w:p>
    <w:p>
      <w:pPr>
        <w:pStyle w:val="Heading1"/>
        <w:keepNext/>
        <w:keepLines/>
        <w:spacing w:before="400" w:after="160" w:line="260" w:lineRule="auto"/>
      </w:pPr>
      <w:r>
        <w:rPr>
          <w:b/>
          <w:bCs/>
          <w:color w:val="0A2540"/>
          <w:sz w:val="28"/>
          <w:szCs w:val="28"/>
          <w:rFonts w:ascii="Inter" w:cs="Inter" w:eastAsia="Inter" w:hAnsi="Inter"/>
        </w:rPr>
        <w:t xml:space="preserve">The first move</w:t>
      </w:r>
    </w:p>
    <w:p>
      <w:pPr>
        <w:widowControl/>
        <w:spacing w:after="140" w:line="290" w:lineRule="auto"/>
      </w:pPr>
      <w:r>
        <w:rPr>
          <w:i w:val="false"/>
          <w:iCs w:val="false"/>
          <w:color w:val="1F2D3D"/>
          <w:sz w:val="21"/>
          <w:szCs w:val="21"/>
          <w:rFonts w:ascii="Inter" w:cs="Inter" w:eastAsia="Inter" w:hAnsi="Inter"/>
        </w:rPr>
        <w:t xml:space="preserve">Sign the proposal by 2026-09-30; we will run the calibration workshop in the first week of October.</w:t>
      </w:r>
    </w:p>
    <w:p>
      <w:pPr>
        <w:pStyle w:val="Heading1"/>
        <w:keepNext/>
        <w:keepLines/>
        <w:spacing w:before="400" w:after="160" w:line="260" w:lineRule="auto"/>
      </w:pPr>
      <w:r>
        <w:rPr>
          <w:b/>
          <w:bCs/>
          <w:color w:val="0A2540"/>
          <w:sz w:val="28"/>
          <w:szCs w:val="28"/>
          <w:rFonts w:ascii="Inter" w:cs="Inter" w:eastAsia="Inter" w:hAnsi="Inter"/>
        </w:rPr>
        <w:t xml:space="preserve">What we are assuming</w:t>
      </w:r>
    </w:p>
    <w:p>
      <w:pPr>
        <w:pStyle w:val="ListParagraph"/>
        <w:widowControl/>
        <w:numPr>
          <w:ilvl w:val="0"/>
          <w:numId w:val="2"/>
        </w:numPr>
        <w:spacing w:after="90" w:line="285" w:lineRule="auto"/>
      </w:pPr>
      <w:r>
        <w:rPr>
          <w:color w:val="1F2D3D"/>
          <w:sz w:val="21"/>
          <w:szCs w:val="21"/>
          <w:rFonts w:ascii="Inter" w:cs="Inter" w:eastAsia="Inter" w:hAnsi="Inter"/>
        </w:rPr>
        <w:t xml:space="preserve">Nike’s own beliefs about brand-activation split are not yet recorded; we are reasoning from the textbook law (Binet &amp; Field, IPA Databank).</w:t>
      </w:r>
    </w:p>
    <w:p>
      <w:pPr>
        <w:pStyle w:val="ListParagraph"/>
        <w:widowControl/>
        <w:numPr>
          <w:ilvl w:val="0"/>
          <w:numId w:val="2"/>
        </w:numPr>
        <w:spacing w:after="90" w:line="285" w:lineRule="auto"/>
      </w:pPr>
      <w:r>
        <w:rPr>
          <w:color w:val="1F2D3D"/>
          <w:sz w:val="21"/>
          <w:szCs w:val="21"/>
          <w:rFonts w:ascii="Inter" w:cs="Inter" w:eastAsia="Inter" w:hAnsi="Inter"/>
        </w:rPr>
        <w:t xml:space="preserve">Nike’s channel-level spend data is available and classifiable as brand or activation.</w:t>
      </w:r>
    </w:p>
    <w:p>
      <w:pPr>
        <w:pStyle w:val="ListParagraph"/>
        <w:widowControl/>
        <w:numPr>
          <w:ilvl w:val="0"/>
          <w:numId w:val="2"/>
        </w:numPr>
        <w:spacing w:after="90" w:line="285" w:lineRule="auto"/>
      </w:pPr>
      <w:r>
        <w:rPr>
          <w:color w:val="1F2D3D"/>
          <w:sz w:val="21"/>
          <w:szCs w:val="21"/>
          <w:rFonts w:ascii="Inter" w:cs="Inter" w:eastAsia="Inter" w:hAnsi="Inter"/>
        </w:rPr>
        <w:t xml:space="preserve">The buying group will commit to reallocating USD 1,714 million within 30 days of calibration.</w:t>
      </w:r>
    </w:p>
    <w:p>
      <w:pPr>
        <w:pStyle w:val="ListParagraph"/>
        <w:widowControl/>
        <w:numPr>
          <w:ilvl w:val="0"/>
          <w:numId w:val="2"/>
        </w:numPr>
        <w:spacing w:after="90" w:line="285" w:lineRule="auto"/>
      </w:pPr>
      <w:r>
        <w:rPr>
          <w:color w:val="1F2D3D"/>
          <w:sz w:val="21"/>
          <w:szCs w:val="21"/>
          <w:rFonts w:ascii="Inter" w:cs="Inter" w:eastAsia="Inter" w:hAnsi="Inter"/>
        </w:rPr>
        <w:t xml:space="preserve">No rivals of Nike’s own have been recorded; we are not naming competitors from general knowledge.</w:t>
      </w:r>
    </w:p>
    <w:p>
      <w:pPr>
        <w:pStyle w:val="Heading1"/>
        <w:keepNext/>
        <w:keepLines/>
        <w:spacing w:before="400" w:after="160" w:line="260" w:lineRule="auto"/>
      </w:pPr>
      <w:r>
        <w:rPr>
          <w:b/>
          <w:bCs/>
          <w:color w:val="0A2540"/>
          <w:sz w:val="28"/>
          <w:szCs w:val="28"/>
          <w:rFonts w:ascii="Inter" w:cs="Inter" w:eastAsia="Inter" w:hAnsi="Inter"/>
        </w:rPr>
        <w:t xml:space="preserve">Risks we can see</w:t>
      </w:r>
    </w:p>
    <w:p>
      <w:pPr>
        <w:pStyle w:val="ListParagraph"/>
        <w:widowControl/>
        <w:numPr>
          <w:ilvl w:val="0"/>
          <w:numId w:val="2"/>
        </w:numPr>
        <w:spacing w:after="90" w:line="285" w:lineRule="auto"/>
      </w:pPr>
      <w:r>
        <w:rPr>
          <w:color w:val="1F2D3D"/>
          <w:sz w:val="21"/>
          <w:szCs w:val="21"/>
          <w:rFonts w:ascii="Inter" w:cs="Inter" w:eastAsia="Inter" w:hAnsi="Inter"/>
        </w:rPr>
        <w:t xml:space="preserve">Channel owners resist reallocation. Early warning: Pushback in the calibration workshop or delayed sign-off on the reallocation plan.</w:t>
      </w:r>
    </w:p>
    <w:p>
      <w:pPr>
        <w:pStyle w:val="ListParagraph"/>
        <w:widowControl/>
        <w:numPr>
          <w:ilvl w:val="0"/>
          <w:numId w:val="2"/>
        </w:numPr>
        <w:spacing w:after="90" w:line="285" w:lineRule="auto"/>
      </w:pPr>
      <w:r>
        <w:rPr>
          <w:color w:val="1F2D3D"/>
          <w:sz w:val="21"/>
          <w:szCs w:val="21"/>
          <w:rFonts w:ascii="Inter" w:cs="Inter" w:eastAsia="Inter" w:hAnsi="Inter"/>
        </w:rPr>
        <w:t xml:space="preserve">Gross-margin lift is slower than 12 months. Early warning: Quarterly lift below 1.3 points (50% - 44.6% spread over 4 quarters).</w:t>
      </w:r>
    </w:p>
    <w:p>
      <w:r>
        <w:br w:type="page"/>
      </w:r>
    </w:p>
    <w:p>
      <w:pPr>
        <w:pStyle w:val="Heading1"/>
        <w:keepNext/>
        <w:keepLines/>
        <w:spacing w:before="400" w:after="160" w:line="260" w:lineRule="auto"/>
      </w:pPr>
      <w:r>
        <w:rPr>
          <w:b/>
          <w:bCs/>
          <w:color w:val="0A2540"/>
          <w:sz w:val="28"/>
          <w:szCs w:val="28"/>
          <w:rFonts w:ascii="Inter" w:cs="Inter" w:eastAsia="Inter" w:hAnsi="Inter"/>
        </w:rPr>
        <w:t xml:space="preserve">The record of this document</w:t>
      </w:r>
    </w:p>
    <w:p>
      <w:pPr>
        <w:widowControl/>
        <w:spacing w:after="140" w:line="290" w:lineRule="auto"/>
      </w:pPr>
      <w:r>
        <w:rPr>
          <w:i w:val="false"/>
          <w:iCs w:val="false"/>
          <w:color w:val="5B7186"/>
          <w:sz w:val="21"/>
          <w:szCs w:val="21"/>
          <w:rFonts w:ascii="Inter" w:cs="Inter" w:eastAsia="Inter" w:hAnsi="Inter"/>
        </w:rPr>
        <w:t xml:space="preserve">An internal page. KEN wrote the argument, the database priced it, and everything below can be checked against the record. Remove this page before the proposal is sent.</w:t>
      </w:r>
    </w:p>
    <w:tbl>
      <w:tblPr>
        <w:tblW w:type="dxa" w:w="8504"/>
        <w:tblBorders>
          <w:top w:val="single" w:color="D5E6F2" w:sz="2"/>
          <w:left w:val="none"/>
          <w:bottom w:val="single" w:color="D5E6F2" w:sz="2"/>
          <w:right w:val="none"/>
          <w:insideH w:val="single" w:color="D5E6F2" w:sz="2"/>
          <w:insideV w:val="none"/>
        </w:tblBorders>
        <w:tblCellMar>
          <w:top w:type="dxa" w:w="90"/>
          <w:left w:type="dxa" w:w="120"/>
          <w:bottom w:type="dxa" w:w="90"/>
          <w:right w:type="dxa" w:w="120"/>
        </w:tblCellMar>
      </w:tblPr>
      <w:tblGrid>
        <w:gridCol w:w="2721"/>
        <w:gridCol w:w="5783"/>
      </w:tblGrid>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18"/>
                <w:szCs w:val="18"/>
                <w:rFonts w:ascii="Inter" w:cs="Inter" w:eastAsia="Inter" w:hAnsi="Inter"/>
              </w:rPr>
              <w:t xml:space="preserve">Written by</w:t>
            </w:r>
          </w:p>
        </w:tc>
        <w:tc>
          <w:tcPr>
            <w:tcW w:type="dxa" w:w="5783"/>
            <w:tcMar>
              <w:top w:type="dxa" w:w="90"/>
              <w:left w:type="dxa" w:w="120"/>
              <w:bottom w:type="dxa" w:w="90"/>
              <w:right w:type="dxa" w:w="120"/>
            </w:tcMar>
          </w:tcPr>
          <w:p>
            <w:pPr>
              <w:spacing w:line="260" w:lineRule="auto"/>
              <w:jc w:val="left"/>
            </w:pPr>
            <w:r>
              <w:rPr>
                <w:b w:val="false"/>
                <w:bCs w:val="false"/>
                <w:color w:val="1F2D3D"/>
                <w:sz w:val="18"/>
                <w:szCs w:val="18"/>
                <w:rFonts w:ascii="Inter" w:cs="Inter" w:eastAsia="Inter" w:hAnsi="Inter"/>
              </w:rPr>
              <w:t xml:space="preserve">Proposal Writer, run 5bdfe8ec</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18"/>
                <w:szCs w:val="18"/>
                <w:rFonts w:ascii="Inter" w:cs="Inter" w:eastAsia="Inter" w:hAnsi="Inter"/>
              </w:rPr>
              <w:t xml:space="preserve">Task type</w:t>
            </w:r>
          </w:p>
        </w:tc>
        <w:tc>
          <w:tcPr>
            <w:tcW w:type="dxa" w:w="5783"/>
            <w:tcMar>
              <w:top w:type="dxa" w:w="90"/>
              <w:left w:type="dxa" w:w="120"/>
              <w:bottom w:type="dxa" w:w="90"/>
              <w:right w:type="dxa" w:w="120"/>
            </w:tcMar>
          </w:tcPr>
          <w:p>
            <w:pPr>
              <w:spacing w:line="260" w:lineRule="auto"/>
              <w:jc w:val="left"/>
            </w:pPr>
            <w:r>
              <w:rPr>
                <w:b w:val="false"/>
                <w:bCs w:val="false"/>
                <w:color w:val="1F2D3D"/>
                <w:sz w:val="18"/>
                <w:szCs w:val="18"/>
                <w:rFonts w:ascii="Inter" w:cs="Inter" w:eastAsia="Inter" w:hAnsi="Inter"/>
              </w:rPr>
              <w:t xml:space="preserve">TT-REV-PROPOSAL-MID</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18"/>
                <w:szCs w:val="18"/>
                <w:rFonts w:ascii="Inter" w:cs="Inter" w:eastAsia="Inter" w:hAnsi="Inter"/>
              </w:rPr>
              <w:t xml:space="preserve">Model</w:t>
            </w:r>
          </w:p>
        </w:tc>
        <w:tc>
          <w:tcPr>
            <w:tcW w:type="dxa" w:w="5783"/>
            <w:tcMar>
              <w:top w:type="dxa" w:w="90"/>
              <w:left w:type="dxa" w:w="120"/>
              <w:bottom w:type="dxa" w:w="90"/>
              <w:right w:type="dxa" w:w="120"/>
            </w:tcMar>
          </w:tcPr>
          <w:p>
            <w:pPr>
              <w:spacing w:line="260" w:lineRule="auto"/>
              <w:jc w:val="left"/>
            </w:pPr>
            <w:r>
              <w:rPr>
                <w:b w:val="false"/>
                <w:bCs w:val="false"/>
                <w:color w:val="1F2D3D"/>
                <w:sz w:val="18"/>
                <w:szCs w:val="18"/>
                <w:rFonts w:ascii="Inter" w:cs="Inter" w:eastAsia="Inter" w:hAnsi="Inter"/>
              </w:rPr>
              <w:t xml:space="preserve">llm4:mistral-large-latest</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18"/>
                <w:szCs w:val="18"/>
                <w:rFonts w:ascii="Inter" w:cs="Inter" w:eastAsia="Inter" w:hAnsi="Inter"/>
              </w:rPr>
              <w:t xml:space="preserve">Grounded in</w:t>
            </w:r>
          </w:p>
        </w:tc>
        <w:tc>
          <w:tcPr>
            <w:tcW w:type="dxa" w:w="5783"/>
            <w:tcMar>
              <w:top w:type="dxa" w:w="90"/>
              <w:left w:type="dxa" w:w="120"/>
              <w:bottom w:type="dxa" w:w="90"/>
              <w:right w:type="dxa" w:w="120"/>
            </w:tcMar>
          </w:tcPr>
          <w:p>
            <w:pPr>
              <w:spacing w:line="260" w:lineRule="auto"/>
              <w:jc w:val="left"/>
            </w:pPr>
            <w:r>
              <w:rPr>
                <w:b w:val="false"/>
                <w:bCs w:val="false"/>
                <w:color w:val="1F2D3D"/>
                <w:sz w:val="18"/>
                <w:szCs w:val="18"/>
                <w:rFonts w:ascii="Inter" w:cs="Inter" w:eastAsia="Inter" w:hAnsi="Inter"/>
              </w:rPr>
              <w:t xml:space="preserve">Nike</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18"/>
                <w:szCs w:val="18"/>
                <w:rFonts w:ascii="Inter" w:cs="Inter" w:eastAsia="Inter" w:hAnsi="Inter"/>
              </w:rPr>
              <w:t xml:space="preserve">Opportunity</w:t>
            </w:r>
          </w:p>
        </w:tc>
        <w:tc>
          <w:tcPr>
            <w:tcW w:type="dxa" w:w="5783"/>
            <w:tcMar>
              <w:top w:type="dxa" w:w="90"/>
              <w:left w:type="dxa" w:w="120"/>
              <w:bottom w:type="dxa" w:w="90"/>
              <w:right w:type="dxa" w:w="120"/>
            </w:tcMar>
          </w:tcPr>
          <w:p>
            <w:pPr>
              <w:spacing w:line="260" w:lineRule="auto"/>
              <w:jc w:val="left"/>
            </w:pPr>
            <w:r>
              <w:rPr>
                <w:b w:val="false"/>
                <w:bCs w:val="false"/>
                <w:color w:val="1F2D3D"/>
                <w:sz w:val="18"/>
                <w:szCs w:val="18"/>
                <w:rFonts w:ascii="Inter" w:cs="Inter" w:eastAsia="Inter" w:hAnsi="Inter"/>
              </w:rPr>
              <w:t xml:space="preserve">Nike FY2025 Gross Margin Recovery, expected close 2026-09-30</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18"/>
                <w:szCs w:val="18"/>
                <w:rFonts w:ascii="Inter" w:cs="Inter" w:eastAsia="Inter" w:hAnsi="Inter"/>
              </w:rPr>
              <w:t xml:space="preserve">Price origin</w:t>
            </w:r>
          </w:p>
        </w:tc>
        <w:tc>
          <w:tcPr>
            <w:tcW w:type="dxa" w:w="5783"/>
            <w:tcMar>
              <w:top w:type="dxa" w:w="90"/>
              <w:left w:type="dxa" w:w="120"/>
              <w:bottom w:type="dxa" w:w="90"/>
              <w:right w:type="dxa" w:w="120"/>
            </w:tcMar>
          </w:tcPr>
          <w:p>
            <w:pPr>
              <w:spacing w:line="260" w:lineRule="auto"/>
              <w:jc w:val="left"/>
            </w:pPr>
            <w:r>
              <w:rPr>
                <w:b w:val="false"/>
                <w:bCs w:val="false"/>
                <w:color w:val="1F2D3D"/>
                <w:sz w:val="18"/>
                <w:szCs w:val="18"/>
                <w:rFonts w:ascii="Inter" w:cs="Inter" w:eastAsia="Inter" w:hAnsi="Inter"/>
              </w:rPr>
              <w:t xml:space="preserve">assumption</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18"/>
                <w:szCs w:val="18"/>
                <w:rFonts w:ascii="Inter" w:cs="Inter" w:eastAsia="Inter" w:hAnsi="Inter"/>
              </w:rPr>
              <w:t xml:space="preserve">Price basis</w:t>
            </w:r>
          </w:p>
        </w:tc>
        <w:tc>
          <w:tcPr>
            <w:tcW w:type="dxa" w:w="5783"/>
            <w:tcMar>
              <w:top w:type="dxa" w:w="90"/>
              <w:left w:type="dxa" w:w="120"/>
              <w:bottom w:type="dxa" w:w="90"/>
              <w:right w:type="dxa" w:w="120"/>
            </w:tcMar>
          </w:tcPr>
          <w:p>
            <w:pPr>
              <w:spacing w:line="260" w:lineRule="auto"/>
              <w:jc w:val="left"/>
            </w:pPr>
            <w:r>
              <w:rPr>
                <w:b w:val="false"/>
                <w:bCs w:val="false"/>
                <w:color w:val="1F2D3D"/>
                <w:sz w:val="18"/>
                <w:szCs w:val="18"/>
                <w:rFonts w:ascii="Inter" w:cs="Inter" w:eastAsia="Inter" w:hAnsi="Inter"/>
              </w:rPr>
              <w:t xml:space="preserve">No rate card exists in the estate. Searched public.house_doctrine on pricing, fees, retainer and rate card across 523 beliefs and found none. Ash sets these figures; until he does they are indicative and the proposal says so.</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18"/>
                <w:szCs w:val="18"/>
                <w:rFonts w:ascii="Inter" w:cs="Inter" w:eastAsia="Inter" w:hAnsi="Inter"/>
              </w:rPr>
              <w:t xml:space="preserve">Doctrine applied</w:t>
            </w:r>
          </w:p>
        </w:tc>
        <w:tc>
          <w:tcPr>
            <w:tcW w:type="dxa" w:w="5783"/>
            <w:tcMar>
              <w:top w:type="dxa" w:w="90"/>
              <w:left w:type="dxa" w:w="120"/>
              <w:bottom w:type="dxa" w:w="90"/>
              <w:right w:type="dxa" w:w="120"/>
            </w:tcMar>
          </w:tcPr>
          <w:p>
            <w:pPr>
              <w:spacing w:line="260" w:lineRule="auto"/>
              <w:jc w:val="left"/>
            </w:pPr>
            <w:r>
              <w:rPr>
                <w:b w:val="false"/>
                <w:bCs w:val="false"/>
                <w:color w:val="1F2D3D"/>
                <w:sz w:val="18"/>
                <w:szCs w:val="18"/>
                <w:rFonts w:ascii="Inter" w:cs="Inter" w:eastAsia="Inter" w:hAnsi="Inter"/>
              </w:rPr>
              <w:t xml:space="preserve">DISCOUNT_CEILING applied: discount requested 0 per cent against a ceiling of 15 per cent, accepted.</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18"/>
                <w:szCs w:val="18"/>
                <w:rFonts w:ascii="Inter" w:cs="Inter" w:eastAsia="Inter" w:hAnsi="Inter"/>
              </w:rPr>
              <w:t xml:space="preserve">Machine identifiers the run wrote and this renderer removed</w:t>
            </w:r>
          </w:p>
        </w:tc>
        <w:tc>
          <w:tcPr>
            <w:tcW w:type="dxa" w:w="5783"/>
            <w:tcMar>
              <w:top w:type="dxa" w:w="90"/>
              <w:left w:type="dxa" w:w="120"/>
              <w:bottom w:type="dxa" w:w="90"/>
              <w:right w:type="dxa" w:w="120"/>
            </w:tcMar>
          </w:tcPr>
          <w:p>
            <w:pPr>
              <w:spacing w:line="260" w:lineRule="auto"/>
              <w:jc w:val="left"/>
            </w:pPr>
            <w:r>
              <w:rPr>
                <w:b w:val="false"/>
                <w:bCs w:val="false"/>
                <w:color w:val="1F2D3D"/>
                <w:sz w:val="18"/>
                <w:szCs w:val="18"/>
                <w:rFonts w:ascii="Inter" w:cs="Inter" w:eastAsia="Inter" w:hAnsi="Inter"/>
              </w:rPr>
              <w:t xml:space="preserve">3 occurrences of 2, listed against this proposal in the database</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18"/>
                <w:szCs w:val="18"/>
                <w:rFonts w:ascii="Inter" w:cs="Inter" w:eastAsia="Inter" w:hAnsi="Inter"/>
              </w:rPr>
              <w:t xml:space="preserve">Renderer</w:t>
            </w:r>
          </w:p>
        </w:tc>
        <w:tc>
          <w:tcPr>
            <w:tcW w:type="dxa" w:w="5783"/>
            <w:tcMar>
              <w:top w:type="dxa" w:w="90"/>
              <w:left w:type="dxa" w:w="120"/>
              <w:bottom w:type="dxa" w:w="90"/>
              <w:right w:type="dxa" w:w="120"/>
            </w:tcMar>
          </w:tcPr>
          <w:p>
            <w:pPr>
              <w:spacing w:line="260" w:lineRule="auto"/>
              <w:jc w:val="left"/>
            </w:pPr>
            <w:r>
              <w:rPr>
                <w:b w:val="false"/>
                <w:bCs w:val="false"/>
                <w:color w:val="1F2D3D"/>
                <w:sz w:val="18"/>
                <w:szCs w:val="18"/>
                <w:rFonts w:ascii="Inter" w:cs="Inter" w:eastAsia="Inter" w:hAnsi="Inter"/>
              </w:rPr>
              <w:t xml:space="preserve">RENDER-PROPOSAL-01 v1.3.0, ideacel palette. Set in Inter where the reader has it, otherwise their default sans serif.</w:t>
            </w:r>
          </w:p>
        </w:tc>
      </w:tr>
    </w:tbl>
    <w:sectPr>
      <w:footerReference w:type="default" r:id="rId6"/>
      <w:pgSz w:w="11906" w:h="16838" w:orient="portrait"/>
      <w:pgMar w:top="1417" w:right="1701" w:bottom="1417" w:left="1701"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right"/>
    </w:pPr>
    <w:r>
      <w:rPr>
        <w:color w:val="5B7186"/>
        <w:sz w:val="15"/>
        <w:szCs w:val="15"/>
        <w:rFonts w:ascii="Inter" w:cs="Inter" w:eastAsia="Inter" w:hAnsi="Inter"/>
      </w:rPr>
      <w:t xml:space="preserve">IDEACEL  ·  PROP-5bdfe8ec-V1  ·  </w:t>
    </w:r>
    <w:r>
      <w:rPr>
        <w:color w:val="5B7186"/>
        <w:sz w:val="15"/>
        <w:szCs w:val="15"/>
        <w:rFonts w:ascii="Inter" w:cs="Inter" w:eastAsia="Inter" w:hAnsi="Inter"/>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03" w:hanging="288"/>
      </w:pPr>
      <w:rPr>
        <w:color w:val="1A98DA"/>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1F2D3D"/>
        <w:sz w:val="21"/>
        <w:szCs w:val="21"/>
        <w:rFonts w:ascii="Inter" w:cs="Inter" w:eastAsia="Inter" w:hAnsi="Inter"/>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keepNext/>
      <w:spacing w:before="400" w:after="160" w:line="260" w:lineRule="auto"/>
      <w:outlineLvl w:val="0"/>
    </w:pPr>
    <w:rPr>
      <w:b/>
      <w:bCs/>
      <w:color w:val="0A2540"/>
      <w:sz w:val="28"/>
      <w:szCs w:val="28"/>
      <w:rFonts w:ascii="Inter" w:cs="Inter" w:eastAsia="Inter" w:hAnsi="Inter"/>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oter" Target="footer1.xml"/><Relationship Id="rId7"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Nike: Calibrate the 60-40 split, move the money, measure the lift</dc:title>
  <dc:creator>IDEACEL</dc:creator>
  <dc:description>Proposal PROP-5bdfe8ec-V1 version 1</dc:description>
  <cp:lastModifiedBy>KEN, RENDER-PROPOSAL-01</cp:lastModifiedBy>
  <cp:revision>1</cp:revision>
  <dcterms:created xsi:type="dcterms:W3CDTF">2026-08-19T22:46:24.711Z</dcterms:created>
  <dcterms:modified xsi:type="dcterms:W3CDTF">2026-08-19T22:46:24.711Z</dcterms:modified>
</cp:coreProperties>
</file>

<file path=docProps/custom.xml><?xml version="1.0" encoding="utf-8"?>
<Properties xmlns="http://schemas.openxmlformats.org/officeDocument/2006/custom-properties" xmlns:vt="http://schemas.openxmlformats.org/officeDocument/2006/docPropsVTypes"/>
</file>