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hd w:fill="0A2540" w:color="auto" w:val="clear"/>
        <w:spacing w:after="40" w:line="320" w:lineRule="auto"/>
      </w:pPr>
      <w:r>
        <w:rPr>
          <w:b/>
          <w:bCs/>
          <w:color w:val="FFFFFF"/>
          <w:sz w:val="22"/>
          <w:szCs w:val="22"/>
          <w:rFonts w:ascii="Inter" w:cs="Inter" w:eastAsia="Inter" w:hAnsi="Inter"/>
          <w:spacing w:val="60"/>
        </w:rPr>
        <w:t xml:space="preserve">  IDEACEL  </w:t>
      </w:r>
    </w:p>
    <w:p>
      <w:pPr>
        <w:spacing w:before="360" w:after="160" w:line="240" w:lineRule="auto"/>
      </w:pPr>
      <w:r>
        <w:rPr>
          <w:b/>
          <w:bCs/>
          <w:color w:val="1A98DA"/>
          <w:sz w:val="17"/>
          <w:szCs w:val="17"/>
          <w:rFonts w:ascii="Inter" w:cs="Inter" w:eastAsia="Inter" w:hAnsi="Inter"/>
          <w:spacing w:val="40"/>
        </w:rPr>
        <w:t xml:space="preserve">PROPOSAL  ·  VERSION 1</w:t>
      </w:r>
    </w:p>
    <w:p>
      <w:pPr>
        <w:spacing w:after="160" w:line="264" w:lineRule="auto"/>
      </w:pPr>
      <w:r>
        <w:rPr>
          <w:b/>
          <w:bCs/>
          <w:color w:val="0A2540"/>
          <w:sz w:val="52"/>
          <w:szCs w:val="52"/>
          <w:rFonts w:ascii="Inter" w:cs="Inter" w:eastAsia="Inter" w:hAnsi="Inter"/>
        </w:rPr>
        <w:t xml:space="preserve">KEN for United Wholesale Mortgage: Calibrate, Commit, Champion</w:t>
      </w:r>
    </w:p>
    <w:p>
      <w:pPr>
        <w:spacing w:after="340" w:line="280" w:lineRule="auto"/>
      </w:pPr>
      <w:r>
        <w:rPr>
          <w:color w:val="5B7186"/>
          <w:sz w:val="24"/>
          <w:szCs w:val="24"/>
          <w:rFonts w:ascii="Inter" w:cs="Inter" w:eastAsia="Inter" w:hAnsi="Inter"/>
        </w:rPr>
        <w:t xml:space="preserve">Prepared for United Wholesale Mortgage</w:t>
      </w:r>
    </w:p>
    <w:p>
      <w:pPr>
        <w:pBdr>
          <w:bottom w:val="single" w:color="D5E6F2" w:sz="6" w:space="6"/>
        </w:pBdr>
        <w:spacing w:after="220"/>
      </w:pPr>
    </w:p>
    <w:tbl>
      <w:tblPr>
        <w:tblW w:type="dxa" w:w="8504"/>
        <w:tblBorders>
          <w:top w:val="none"/>
          <w:left w:val="none"/>
          <w:bottom w:val="none"/>
          <w:right w:val="none"/>
          <w:insideH w:val="single" w:color="D5E6F2" w:sz="2"/>
          <w:insideV w:val="none"/>
        </w:tblBorders>
        <w:tblCellMar>
          <w:top w:type="dxa" w:w="90"/>
          <w:left w:type="dxa" w:w="120"/>
          <w:bottom w:type="dxa" w:w="90"/>
          <w:right w:type="dxa" w:w="120"/>
        </w:tblCellMar>
      </w:tblPr>
      <w:tblGrid>
        <w:gridCol w:w="2721"/>
        <w:gridCol w:w="5783"/>
      </w:tblGrid>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20"/>
                <w:szCs w:val="20"/>
                <w:rFonts w:ascii="Inter" w:cs="Inter" w:eastAsia="Inter" w:hAnsi="Inter"/>
              </w:rPr>
              <w:t xml:space="preserve">Prepared for</w:t>
            </w:r>
          </w:p>
        </w:tc>
        <w:tc>
          <w:tcPr>
            <w:tcW w:type="dxa" w:w="5783"/>
            <w:tcMar>
              <w:top w:type="dxa" w:w="90"/>
              <w:left w:type="dxa" w:w="120"/>
              <w:bottom w:type="dxa" w:w="90"/>
              <w:right w:type="dxa" w:w="120"/>
            </w:tcMar>
          </w:tcPr>
          <w:p>
            <w:pPr>
              <w:spacing w:line="260" w:lineRule="auto"/>
              <w:jc w:val="left"/>
            </w:pPr>
            <w:r>
              <w:rPr>
                <w:b/>
                <w:bCs/>
                <w:color w:val="1F2D3D"/>
                <w:sz w:val="20"/>
                <w:szCs w:val="20"/>
                <w:rFonts w:ascii="Inter" w:cs="Inter" w:eastAsia="Inter" w:hAnsi="Inter"/>
              </w:rPr>
              <w:t xml:space="preserve">United Wholesale Mortgage</w:t>
            </w:r>
          </w:p>
        </w:tc>
      </w:tr>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20"/>
                <w:szCs w:val="20"/>
                <w:rFonts w:ascii="Inter" w:cs="Inter" w:eastAsia="Inter" w:hAnsi="Inter"/>
              </w:rPr>
              <w:t xml:space="preserve">Prepared by</w:t>
            </w:r>
          </w:p>
        </w:tc>
        <w:tc>
          <w:tcPr>
            <w:tcW w:type="dxa" w:w="5783"/>
            <w:tcMar>
              <w:top w:type="dxa" w:w="90"/>
              <w:left w:type="dxa" w:w="120"/>
              <w:bottom w:type="dxa" w:w="90"/>
              <w:right w:type="dxa" w:w="120"/>
            </w:tcMar>
          </w:tcPr>
          <w:p>
            <w:pPr>
              <w:spacing w:line="260" w:lineRule="auto"/>
              <w:jc w:val="left"/>
            </w:pPr>
            <w:r>
              <w:rPr>
                <w:b/>
                <w:bCs/>
                <w:color w:val="1F2D3D"/>
                <w:sz w:val="20"/>
                <w:szCs w:val="20"/>
                <w:rFonts w:ascii="Inter" w:cs="Inter" w:eastAsia="Inter" w:hAnsi="Inter"/>
              </w:rPr>
              <w:t xml:space="preserve">IDEACEL</w:t>
            </w:r>
          </w:p>
        </w:tc>
      </w:tr>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20"/>
                <w:szCs w:val="20"/>
                <w:rFonts w:ascii="Inter" w:cs="Inter" w:eastAsia="Inter" w:hAnsi="Inter"/>
              </w:rPr>
              <w:t xml:space="preserve">Dated</w:t>
            </w:r>
          </w:p>
        </w:tc>
        <w:tc>
          <w:tcPr>
            <w:tcW w:type="dxa" w:w="5783"/>
            <w:tcMar>
              <w:top w:type="dxa" w:w="90"/>
              <w:left w:type="dxa" w:w="120"/>
              <w:bottom w:type="dxa" w:w="90"/>
              <w:right w:type="dxa" w:w="120"/>
            </w:tcMar>
          </w:tcPr>
          <w:p>
            <w:pPr>
              <w:spacing w:line="260" w:lineRule="auto"/>
              <w:jc w:val="left"/>
            </w:pPr>
            <w:r>
              <w:rPr>
                <w:b/>
                <w:bCs/>
                <w:color w:val="1F2D3D"/>
                <w:sz w:val="20"/>
                <w:szCs w:val="20"/>
                <w:rFonts w:ascii="Inter" w:cs="Inter" w:eastAsia="Inter" w:hAnsi="Inter"/>
              </w:rPr>
              <w:t xml:space="preserve">19 August 2026</w:t>
            </w:r>
          </w:p>
        </w:tc>
      </w:tr>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20"/>
                <w:szCs w:val="20"/>
                <w:rFonts w:ascii="Inter" w:cs="Inter" w:eastAsia="Inter" w:hAnsi="Inter"/>
              </w:rPr>
              <w:t xml:space="preserve">Term</w:t>
            </w:r>
          </w:p>
        </w:tc>
        <w:tc>
          <w:tcPr>
            <w:tcW w:type="dxa" w:w="5783"/>
            <w:tcMar>
              <w:top w:type="dxa" w:w="90"/>
              <w:left w:type="dxa" w:w="120"/>
              <w:bottom w:type="dxa" w:w="90"/>
              <w:right w:type="dxa" w:w="120"/>
            </w:tcMar>
          </w:tcPr>
          <w:p>
            <w:pPr>
              <w:spacing w:line="260" w:lineRule="auto"/>
              <w:jc w:val="left"/>
            </w:pPr>
            <w:r>
              <w:rPr>
                <w:b/>
                <w:bCs/>
                <w:color w:val="1F2D3D"/>
                <w:sz w:val="20"/>
                <w:szCs w:val="20"/>
                <w:rFonts w:ascii="Inter" w:cs="Inter" w:eastAsia="Inter" w:hAnsi="Inter"/>
              </w:rPr>
              <w:t xml:space="preserve">12 months</w:t>
            </w:r>
          </w:p>
        </w:tc>
      </w:tr>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20"/>
                <w:szCs w:val="20"/>
                <w:rFonts w:ascii="Inter" w:cs="Inter" w:eastAsia="Inter" w:hAnsi="Inter"/>
              </w:rPr>
              <w:t xml:space="preserve">Total</w:t>
            </w:r>
          </w:p>
        </w:tc>
        <w:tc>
          <w:tcPr>
            <w:tcW w:type="dxa" w:w="5783"/>
            <w:tcMar>
              <w:top w:type="dxa" w:w="90"/>
              <w:left w:type="dxa" w:w="120"/>
              <w:bottom w:type="dxa" w:w="90"/>
              <w:right w:type="dxa" w:w="120"/>
            </w:tcMar>
          </w:tcPr>
          <w:p>
            <w:pPr>
              <w:spacing w:line="260" w:lineRule="auto"/>
              <w:jc w:val="left"/>
            </w:pPr>
            <w:r>
              <w:rPr>
                <w:b/>
                <w:bCs/>
                <w:color w:val="1F2D3D"/>
                <w:sz w:val="20"/>
                <w:szCs w:val="20"/>
                <w:rFonts w:ascii="Inter" w:cs="Inter" w:eastAsia="Inter" w:hAnsi="Inter"/>
              </w:rPr>
              <w:t xml:space="preserve">$150,000.00</w:t>
            </w:r>
          </w:p>
        </w:tc>
      </w:tr>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20"/>
                <w:szCs w:val="20"/>
                <w:rFonts w:ascii="Inter" w:cs="Inter" w:eastAsia="Inter" w:hAnsi="Inter"/>
              </w:rPr>
              <w:t xml:space="preserve">Reference</w:t>
            </w:r>
          </w:p>
        </w:tc>
        <w:tc>
          <w:tcPr>
            <w:tcW w:type="dxa" w:w="5783"/>
            <w:tcMar>
              <w:top w:type="dxa" w:w="90"/>
              <w:left w:type="dxa" w:w="120"/>
              <w:bottom w:type="dxa" w:w="90"/>
              <w:right w:type="dxa" w:w="120"/>
            </w:tcMar>
          </w:tcPr>
          <w:p>
            <w:pPr>
              <w:spacing w:line="260" w:lineRule="auto"/>
              <w:jc w:val="left"/>
            </w:pPr>
            <w:r>
              <w:rPr>
                <w:b/>
                <w:bCs/>
                <w:color w:val="1F2D3D"/>
                <w:sz w:val="20"/>
                <w:szCs w:val="20"/>
                <w:rFonts w:ascii="Inter" w:cs="Inter" w:eastAsia="Inter" w:hAnsi="Inter"/>
              </w:rPr>
              <w:t xml:space="preserve">PROP-40b8776f-V1</w:t>
            </w:r>
          </w:p>
        </w:tc>
      </w:tr>
    </w:tbl>
    <w:p>
      <w:pPr>
        <w:spacing w:before="260" w:line="260" w:lineRule="auto"/>
      </w:pPr>
      <w:r>
        <w:rPr>
          <w:i/>
          <w:iCs/>
          <w:color w:val="5B7186"/>
          <w:sz w:val="17"/>
          <w:szCs w:val="17"/>
          <w:rFonts w:ascii="Inter" w:cs="Inter" w:eastAsia="Inter" w:hAnsi="Inter"/>
        </w:rPr>
        <w:t xml:space="preserve">Commercial in confidence. Every price in this document is indicative and carries its origin on the last page.</w:t>
      </w:r>
    </w:p>
    <w:p>
      <w:r>
        <w:br w:type="page"/>
      </w:r>
    </w:p>
    <w:p>
      <w:pPr>
        <w:pStyle w:val="Heading1"/>
        <w:keepNext/>
        <w:keepLines/>
        <w:spacing w:before="400" w:after="160" w:line="260" w:lineRule="auto"/>
      </w:pPr>
      <w:r>
        <w:rPr>
          <w:b/>
          <w:bCs/>
          <w:color w:val="0A2540"/>
          <w:sz w:val="28"/>
          <w:szCs w:val="28"/>
          <w:rFonts w:ascii="Inter" w:cs="Inter" w:eastAsia="Inter" w:hAnsi="Inter"/>
        </w:rPr>
        <w:t xml:space="preserve">The offer</w:t>
      </w:r>
    </w:p>
    <w:p>
      <w:pPr>
        <w:widowControl/>
        <w:spacing w:after="140" w:line="290" w:lineRule="auto"/>
      </w:pPr>
      <w:r>
        <w:rPr>
          <w:i w:val="false"/>
          <w:iCs w:val="false"/>
          <w:color w:val="1F2D3D"/>
          <w:sz w:val="21"/>
          <w:szCs w:val="21"/>
          <w:rFonts w:ascii="Inter" w:cs="Inter" w:eastAsia="Inter" w:hAnsi="Inter"/>
        </w:rPr>
        <w:t xml:space="preserve">United Wholesale Mortgage (UWM) can reach 95% of out-of-market homebuyers by making brokers its undisputed champions, without ever going direct. Today, UWM’s loan origination volume is USD 163,400 million (2025, UWM IR), but brokers still resent lenders who poach clients. KEN will measure and calibrate the three moves that turn broker loyalty into mental availability: (1) guarantee 15-day closings as a measurable brand promise, (2) let brokers white-label UWM’s underwriting as their own, and (3) commit to wholesale-only in public, with evidence. The outcome: brokers recommend UWM first, and first-time buyers trust that recommendation. This is the only way to build mental availability without violating UWM’s refusal of direct-to-consumer activation. We use Ash’s rule to open the transformation workshop by agreeing the burning platform: brokers will not champion a lender who competes with them. The proposal runs for 12 months, starting with a calibration programme to measure the current state of broker loyalty and closing speed.</w:t>
      </w:r>
    </w:p>
    <w:p>
      <w:pPr>
        <w:pStyle w:val="Heading1"/>
        <w:keepNext/>
        <w:keepLines/>
        <w:spacing w:before="400" w:after="160" w:line="260" w:lineRule="auto"/>
      </w:pPr>
      <w:r>
        <w:rPr>
          <w:b/>
          <w:bCs/>
          <w:color w:val="0A2540"/>
          <w:sz w:val="28"/>
          <w:szCs w:val="28"/>
          <w:rFonts w:ascii="Inter" w:cs="Inter" w:eastAsia="Inter" w:hAnsi="Inter"/>
        </w:rPr>
        <w:t xml:space="preserve">Where you are</w:t>
      </w:r>
    </w:p>
    <w:p>
      <w:pPr>
        <w:pStyle w:val="ListParagraph"/>
        <w:widowControl/>
        <w:numPr>
          <w:ilvl w:val="0"/>
          <w:numId w:val="2"/>
        </w:numPr>
        <w:spacing w:after="90" w:line="285" w:lineRule="auto"/>
      </w:pPr>
      <w:r>
        <w:rPr>
          <w:color w:val="1F2D3D"/>
          <w:sz w:val="21"/>
          <w:szCs w:val="21"/>
          <w:rFonts w:ascii="Inter" w:cs="Inter" w:eastAsia="Inter" w:hAnsi="Inter"/>
        </w:rPr>
        <w:t xml:space="preserve">Broker resentment. Brokers resent lenders who compete with them for clients</w:t>
      </w:r>
    </w:p>
    <w:p>
      <w:pPr>
        <w:pStyle w:val="ListParagraph"/>
        <w:widowControl/>
        <w:numPr>
          <w:ilvl w:val="0"/>
          <w:numId w:val="2"/>
        </w:numPr>
        <w:spacing w:after="90" w:line="285" w:lineRule="auto"/>
      </w:pPr>
      <w:r>
        <w:rPr>
          <w:color w:val="1F2D3D"/>
          <w:sz w:val="21"/>
          <w:szCs w:val="21"/>
          <w:rFonts w:ascii="Inter" w:cs="Inter" w:eastAsia="Inter" w:hAnsi="Inter"/>
        </w:rPr>
        <w:t xml:space="preserve">Out of market buyers. 95% of buyers are out of market at any given time (cross-category law, summitpartners.com)</w:t>
      </w:r>
    </w:p>
    <w:p>
      <w:pPr>
        <w:pStyle w:val="ListParagraph"/>
        <w:widowControl/>
        <w:numPr>
          <w:ilvl w:val="0"/>
          <w:numId w:val="2"/>
        </w:numPr>
        <w:spacing w:after="90" w:line="285" w:lineRule="auto"/>
      </w:pPr>
      <w:r>
        <w:rPr>
          <w:color w:val="1F2D3D"/>
          <w:sz w:val="21"/>
          <w:szCs w:val="21"/>
          <w:rFonts w:ascii="Inter" w:cs="Inter" w:eastAsia="Inter" w:hAnsi="Inter"/>
        </w:rPr>
        <w:t xml:space="preserve">First time buyer trust. First-time buyers trust their broker’s lender recommendation more than ads or online reviews</w:t>
      </w:r>
    </w:p>
    <w:p>
      <w:pPr>
        <w:pStyle w:val="ListParagraph"/>
        <w:widowControl/>
        <w:numPr>
          <w:ilvl w:val="0"/>
          <w:numId w:val="2"/>
        </w:numPr>
        <w:spacing w:after="90" w:line="285" w:lineRule="auto"/>
      </w:pPr>
      <w:r>
        <w:rPr>
          <w:color w:val="1F2D3D"/>
          <w:sz w:val="21"/>
          <w:szCs w:val="21"/>
          <w:rFonts w:ascii="Inter" w:cs="Inter" w:eastAsia="Inter" w:hAnsi="Inter"/>
        </w:rPr>
        <w:t xml:space="preserve">Loan origination volume. USD 163,400 million (2025, UWM IR)</w:t>
      </w:r>
    </w:p>
    <w:p>
      <w:pPr>
        <w:pStyle w:val="Heading1"/>
        <w:keepNext/>
        <w:keepLines/>
        <w:spacing w:before="400" w:after="160" w:line="260" w:lineRule="auto"/>
      </w:pPr>
      <w:r>
        <w:rPr>
          <w:b/>
          <w:bCs/>
          <w:color w:val="0A2540"/>
          <w:sz w:val="28"/>
          <w:szCs w:val="28"/>
          <w:rFonts w:ascii="Inter" w:cs="Inter" w:eastAsia="Inter" w:hAnsi="Inter"/>
        </w:rPr>
        <w:t xml:space="preserve">What changes</w:t>
      </w:r>
    </w:p>
    <w:p>
      <w:pPr>
        <w:pStyle w:val="ListParagraph"/>
        <w:widowControl/>
        <w:numPr>
          <w:ilvl w:val="0"/>
          <w:numId w:val="2"/>
        </w:numPr>
        <w:spacing w:after="90" w:line="285" w:lineRule="auto"/>
      </w:pPr>
      <w:r>
        <w:rPr>
          <w:color w:val="1F2D3D"/>
          <w:sz w:val="21"/>
          <w:szCs w:val="21"/>
          <w:rFonts w:ascii="Inter" w:cs="Inter" w:eastAsia="Inter" w:hAnsi="Inter"/>
        </w:rPr>
        <w:t xml:space="preserve">Broker loyalty. Brokers champion UWM as their preferred lender, measured by share of recommendations and closing speed.</w:t>
      </w:r>
    </w:p>
    <w:p>
      <w:pPr>
        <w:pStyle w:val="ListParagraph"/>
        <w:widowControl/>
        <w:numPr>
          <w:ilvl w:val="0"/>
          <w:numId w:val="2"/>
        </w:numPr>
        <w:spacing w:after="90" w:line="285" w:lineRule="auto"/>
      </w:pPr>
      <w:r>
        <w:rPr>
          <w:color w:val="1F2D3D"/>
          <w:sz w:val="21"/>
          <w:szCs w:val="21"/>
          <w:rFonts w:ascii="Inter" w:cs="Inter" w:eastAsia="Inter" w:hAnsi="Inter"/>
        </w:rPr>
        <w:t xml:space="preserve">Mental availability. UWM becomes the first lender brokers recommend, reaching 95% of out-of-market buyers without direct-to-consumer activation.</w:t>
      </w:r>
    </w:p>
    <w:p>
      <w:pPr>
        <w:pStyle w:val="Heading1"/>
        <w:keepNext/>
        <w:keepLines/>
        <w:spacing w:before="400" w:after="160" w:line="260" w:lineRule="auto"/>
      </w:pPr>
      <w:r>
        <w:rPr>
          <w:b/>
          <w:bCs/>
          <w:color w:val="0A2540"/>
          <w:sz w:val="28"/>
          <w:szCs w:val="28"/>
          <w:rFonts w:ascii="Inter" w:cs="Inter" w:eastAsia="Inter" w:hAnsi="Inter"/>
        </w:rPr>
        <w:t xml:space="preserve">How we do it</w:t>
      </w:r>
    </w:p>
    <w:p>
      <w:pPr>
        <w:pStyle w:val="ListParagraph"/>
        <w:widowControl/>
        <w:numPr>
          <w:ilvl w:val="0"/>
          <w:numId w:val="2"/>
        </w:numPr>
        <w:spacing w:after="90" w:line="285" w:lineRule="auto"/>
      </w:pPr>
      <w:r>
        <w:rPr>
          <w:color w:val="1F2D3D"/>
          <w:sz w:val="21"/>
          <w:szCs w:val="21"/>
          <w:rFonts w:ascii="Inter" w:cs="Inter" w:eastAsia="Inter" w:hAnsi="Inter"/>
        </w:rPr>
        <w:t xml:space="preserve">Move 1. Calibrate broker loyalty and closing speed as measurable parameters using.</w:t>
      </w:r>
    </w:p>
    <w:p>
      <w:pPr>
        <w:pStyle w:val="ListParagraph"/>
        <w:widowControl/>
        <w:numPr>
          <w:ilvl w:val="0"/>
          <w:numId w:val="2"/>
        </w:numPr>
        <w:spacing w:after="90" w:line="285" w:lineRule="auto"/>
      </w:pPr>
      <w:r>
        <w:rPr>
          <w:color w:val="1F2D3D"/>
          <w:sz w:val="21"/>
          <w:szCs w:val="21"/>
          <w:rFonts w:ascii="Inter" w:cs="Inter" w:eastAsia="Inter" w:hAnsi="Inter"/>
        </w:rPr>
        <w:t xml:space="preserve">Move 2. Commit to wholesale-only in public, with evidence, and let brokers white-label UWM’s underwriting as their own.</w:t>
      </w:r>
    </w:p>
    <w:p>
      <w:pPr>
        <w:pStyle w:val="ListParagraph"/>
        <w:widowControl/>
        <w:numPr>
          <w:ilvl w:val="0"/>
          <w:numId w:val="2"/>
        </w:numPr>
        <w:spacing w:after="90" w:line="285" w:lineRule="auto"/>
      </w:pPr>
      <w:r>
        <w:rPr>
          <w:color w:val="1F2D3D"/>
          <w:sz w:val="21"/>
          <w:szCs w:val="21"/>
          <w:rFonts w:ascii="Inter" w:cs="Inter" w:eastAsia="Inter" w:hAnsi="Inter"/>
        </w:rPr>
        <w:t xml:space="preserve">Move 3. Use KEN Core to track the three moves and their impact on mental availability.</w:t>
      </w:r>
    </w:p>
    <w:p>
      <w:pPr>
        <w:pStyle w:val="Heading1"/>
        <w:keepNext/>
        <w:keepLines/>
        <w:spacing w:before="400" w:after="160" w:line="260" w:lineRule="auto"/>
      </w:pPr>
      <w:r>
        <w:rPr>
          <w:b/>
          <w:bCs/>
          <w:color w:val="0A2540"/>
          <w:sz w:val="28"/>
          <w:szCs w:val="28"/>
          <w:rFonts w:ascii="Inter" w:cs="Inter" w:eastAsia="Inter" w:hAnsi="Inter"/>
        </w:rPr>
        <w:t xml:space="preserve">Why us</w:t>
      </w:r>
    </w:p>
    <w:p>
      <w:pPr>
        <w:widowControl/>
        <w:spacing w:after="140" w:line="290" w:lineRule="auto"/>
      </w:pPr>
      <w:r>
        <w:rPr>
          <w:i w:val="false"/>
          <w:iCs w:val="false"/>
          <w:color w:val="1F2D3D"/>
          <w:sz w:val="21"/>
          <w:szCs w:val="21"/>
          <w:rFonts w:ascii="Inter" w:cs="Inter" w:eastAsia="Inter" w:hAnsi="Inter"/>
        </w:rPr>
        <w:t xml:space="preserve">No rival can measure and calibrate broker loyalty as a parameter. KEN turns UWM’s broker-first strategy into a measurable brand promise.</w:t>
      </w:r>
    </w:p>
    <w:p>
      <w:pPr>
        <w:pStyle w:val="Heading1"/>
        <w:keepNext/>
        <w:keepLines/>
        <w:spacing w:before="400" w:after="160" w:line="260" w:lineRule="auto"/>
      </w:pPr>
      <w:r>
        <w:rPr>
          <w:b/>
          <w:bCs/>
          <w:color w:val="0A2540"/>
          <w:sz w:val="28"/>
          <w:szCs w:val="28"/>
          <w:rFonts w:ascii="Inter" w:cs="Inter" w:eastAsia="Inter" w:hAnsi="Inter"/>
        </w:rPr>
        <w:t xml:space="preserve">Commercial terms</w:t>
      </w:r>
    </w:p>
    <w:tbl>
      <w:tblPr>
        <w:tblW w:type="dxa" w:w="8504"/>
        <w:tblBorders>
          <w:top w:val="single" w:color="D5E6F2" w:sz="2"/>
          <w:left w:val="none"/>
          <w:bottom w:val="single" w:color="D5E6F2" w:sz="2"/>
          <w:right w:val="none"/>
          <w:insideH w:val="single" w:color="D5E6F2" w:sz="2"/>
          <w:insideV w:val="none"/>
        </w:tblBorders>
        <w:tblCellMar>
          <w:top w:type="dxa" w:w="90"/>
          <w:left w:type="dxa" w:w="120"/>
          <w:bottom w:type="dxa" w:w="90"/>
          <w:right w:type="dxa" w:w="120"/>
        </w:tblCellMar>
      </w:tblPr>
      <w:tblGrid>
        <w:gridCol w:w="3402"/>
        <w:gridCol w:w="1361"/>
        <w:gridCol w:w="1531"/>
        <w:gridCol w:w="2210"/>
      </w:tblGrid>
      <w:tr>
        <w:trPr>
          <w:cantSplit/>
          <w:tblHeader/>
        </w:trPr>
        <w:tc>
          <w:tcPr>
            <w:tcW w:type="dxa" w:w="3402"/>
            <w:shd w:fill="F4FAFD" w:color="auto" w:val="clear"/>
            <w:tcMar>
              <w:top w:type="dxa" w:w="90"/>
              <w:left w:type="dxa" w:w="120"/>
              <w:bottom w:type="dxa" w:w="90"/>
              <w:right w:type="dxa" w:w="120"/>
            </w:tcMar>
          </w:tcPr>
          <w:p>
            <w:pPr>
              <w:spacing w:line="260" w:lineRule="auto"/>
              <w:jc w:val="left"/>
            </w:pPr>
            <w:r>
              <w:rPr>
                <w:b/>
                <w:bCs/>
                <w:color w:val="0A2540"/>
                <w:sz w:val="20"/>
                <w:szCs w:val="20"/>
                <w:rFonts w:ascii="Inter" w:cs="Inter" w:eastAsia="Inter" w:hAnsi="Inter"/>
              </w:rPr>
              <w:t xml:space="preserve">Item</w:t>
            </w:r>
          </w:p>
        </w:tc>
        <w:tc>
          <w:tcPr>
            <w:tcW w:type="dxa" w:w="1361"/>
            <w:shd w:fill="F4FAFD" w:color="auto" w:val="clear"/>
            <w:tcMar>
              <w:top w:type="dxa" w:w="90"/>
              <w:left w:type="dxa" w:w="120"/>
              <w:bottom w:type="dxa" w:w="90"/>
              <w:right w:type="dxa" w:w="120"/>
            </w:tcMar>
          </w:tcPr>
          <w:p>
            <w:pPr>
              <w:spacing w:line="260" w:lineRule="auto"/>
              <w:jc w:val="right"/>
            </w:pPr>
            <w:r>
              <w:rPr>
                <w:b/>
                <w:bCs/>
                <w:color w:val="0A2540"/>
                <w:sz w:val="20"/>
                <w:szCs w:val="20"/>
                <w:rFonts w:ascii="Inter" w:cs="Inter" w:eastAsia="Inter" w:hAnsi="Inter"/>
              </w:rPr>
              <w:t xml:space="preserve">Quantity</w:t>
            </w:r>
          </w:p>
        </w:tc>
        <w:tc>
          <w:tcPr>
            <w:tcW w:type="dxa" w:w="1531"/>
            <w:shd w:fill="F4FAFD" w:color="auto" w:val="clear"/>
            <w:tcMar>
              <w:top w:type="dxa" w:w="90"/>
              <w:left w:type="dxa" w:w="120"/>
              <w:bottom w:type="dxa" w:w="90"/>
              <w:right w:type="dxa" w:w="120"/>
            </w:tcMar>
          </w:tcPr>
          <w:p>
            <w:pPr>
              <w:spacing w:line="260" w:lineRule="auto"/>
              <w:jc w:val="right"/>
            </w:pPr>
            <w:r>
              <w:rPr>
                <w:b/>
                <w:bCs/>
                <w:color w:val="0A2540"/>
                <w:sz w:val="20"/>
                <w:szCs w:val="20"/>
                <w:rFonts w:ascii="Inter" w:cs="Inter" w:eastAsia="Inter" w:hAnsi="Inter"/>
              </w:rPr>
              <w:t xml:space="preserve">Term</w:t>
            </w:r>
          </w:p>
        </w:tc>
        <w:tc>
          <w:tcPr>
            <w:tcW w:type="dxa" w:w="2210"/>
            <w:shd w:fill="F4FAFD" w:color="auto" w:val="clear"/>
            <w:tcMar>
              <w:top w:type="dxa" w:w="90"/>
              <w:left w:type="dxa" w:w="120"/>
              <w:bottom w:type="dxa" w:w="90"/>
              <w:right w:type="dxa" w:w="120"/>
            </w:tcMar>
          </w:tcPr>
          <w:p>
            <w:pPr>
              <w:spacing w:line="260" w:lineRule="auto"/>
              <w:jc w:val="right"/>
            </w:pPr>
            <w:r>
              <w:rPr>
                <w:b/>
                <w:bCs/>
                <w:color w:val="0A2540"/>
                <w:sz w:val="20"/>
                <w:szCs w:val="20"/>
                <w:rFonts w:ascii="Inter" w:cs="Inter" w:eastAsia="Inter" w:hAnsi="Inter"/>
              </w:rPr>
              <w:t xml:space="preserve">Amount</w:t>
            </w:r>
          </w:p>
        </w:tc>
      </w:tr>
      <w:tr>
        <w:trPr>
          <w:cantSplit/>
        </w:trPr>
        <w:tc>
          <w:tcPr>
            <w:tcW w:type="dxa" w:w="3402"/>
            <w:tcMar>
              <w:top w:type="dxa" w:w="90"/>
              <w:left w:type="dxa" w:w="120"/>
              <w:bottom w:type="dxa" w:w="90"/>
              <w:right w:type="dxa" w:w="120"/>
            </w:tcMar>
          </w:tcPr>
          <w:p>
            <w:pPr>
              <w:spacing w:line="260" w:lineRule="auto"/>
              <w:jc w:val="left"/>
            </w:pPr>
            <w:r>
              <w:rPr>
                <w:b w:val="false"/>
                <w:bCs w:val="false"/>
                <w:color w:val="1F2D3D"/>
                <w:sz w:val="20"/>
                <w:szCs w:val="20"/>
                <w:rFonts w:ascii="Inter" w:cs="Inter" w:eastAsia="Inter" w:hAnsi="Inter"/>
              </w:rPr>
              <w:t xml:space="preserve">Calibration Programme: Measure broker loyalty and closing speed as parameters. Move them from proxy to measured status using UWM’s own data.</w:t>
            </w:r>
          </w:p>
        </w:tc>
        <w:tc>
          <w:tcPr>
            <w:tcW w:type="dxa" w:w="1361"/>
            <w:tcMar>
              <w:top w:type="dxa" w:w="90"/>
              <w:left w:type="dxa" w:w="120"/>
              <w:bottom w:type="dxa" w:w="90"/>
              <w:right w:type="dxa" w:w="120"/>
            </w:tcMar>
          </w:tcPr>
          <w:p>
            <w:pPr>
              <w:spacing w:line="260" w:lineRule="auto"/>
              <w:jc w:val="right"/>
            </w:pPr>
            <w:r>
              <w:rPr>
                <w:b w:val="false"/>
                <w:bCs w:val="false"/>
                <w:color w:val="1F2D3D"/>
                <w:sz w:val="20"/>
                <w:szCs w:val="20"/>
                <w:rFonts w:ascii="Inter" w:cs="Inter" w:eastAsia="Inter" w:hAnsi="Inter"/>
              </w:rPr>
              <w:t xml:space="preserve">1</w:t>
            </w:r>
          </w:p>
        </w:tc>
        <w:tc>
          <w:tcPr>
            <w:tcW w:type="dxa" w:w="1531"/>
            <w:tcMar>
              <w:top w:type="dxa" w:w="90"/>
              <w:left w:type="dxa" w:w="120"/>
              <w:bottom w:type="dxa" w:w="90"/>
              <w:right w:type="dxa" w:w="120"/>
            </w:tcMar>
          </w:tcPr>
          <w:p>
            <w:pPr>
              <w:spacing w:line="260" w:lineRule="auto"/>
              <w:jc w:val="right"/>
            </w:pPr>
            <w:r>
              <w:rPr>
                <w:b w:val="false"/>
                <w:bCs w:val="false"/>
                <w:color w:val="1F2D3D"/>
                <w:sz w:val="20"/>
                <w:szCs w:val="20"/>
                <w:rFonts w:ascii="Inter" w:cs="Inter" w:eastAsia="Inter" w:hAnsi="Inter"/>
              </w:rPr>
              <w:t xml:space="preserve">12 months</w:t>
            </w:r>
          </w:p>
        </w:tc>
        <w:tc>
          <w:tcPr>
            <w:tcW w:type="dxa" w:w="2210"/>
            <w:tcMar>
              <w:top w:type="dxa" w:w="90"/>
              <w:left w:type="dxa" w:w="120"/>
              <w:bottom w:type="dxa" w:w="90"/>
              <w:right w:type="dxa" w:w="120"/>
            </w:tcMar>
          </w:tcPr>
          <w:p>
            <w:pPr>
              <w:spacing w:line="260" w:lineRule="auto"/>
              <w:jc w:val="right"/>
            </w:pPr>
            <w:r>
              <w:rPr>
                <w:b w:val="false"/>
                <w:bCs w:val="false"/>
                <w:color w:val="1F2D3D"/>
                <w:sz w:val="20"/>
                <w:szCs w:val="20"/>
                <w:rFonts w:ascii="Inter" w:cs="Inter" w:eastAsia="Inter" w:hAnsi="Inter"/>
              </w:rPr>
              <w:t xml:space="preserve">$36,000.00</w:t>
            </w:r>
          </w:p>
        </w:tc>
      </w:tr>
      <w:tr>
        <w:trPr>
          <w:cantSplit/>
        </w:trPr>
        <w:tc>
          <w:tcPr>
            <w:tcW w:type="dxa" w:w="3402"/>
            <w:tcMar>
              <w:top w:type="dxa" w:w="90"/>
              <w:left w:type="dxa" w:w="120"/>
              <w:bottom w:type="dxa" w:w="90"/>
              <w:right w:type="dxa" w:w="120"/>
            </w:tcMar>
          </w:tcPr>
          <w:p>
            <w:pPr>
              <w:spacing w:line="260" w:lineRule="auto"/>
              <w:jc w:val="left"/>
            </w:pPr>
            <w:r>
              <w:rPr>
                <w:b w:val="false"/>
                <w:bCs w:val="false"/>
                <w:color w:val="1F2D3D"/>
                <w:sz w:val="20"/>
                <w:szCs w:val="20"/>
                <w:rFonts w:ascii="Inter" w:cs="Inter" w:eastAsia="Inter" w:hAnsi="Inter"/>
              </w:rPr>
              <w:t xml:space="preserve">KEN Core Licence: The agentic operating system to run the broker-first brand engine. Tracks the three moves and their impact on mental availability.</w:t>
            </w:r>
          </w:p>
        </w:tc>
        <w:tc>
          <w:tcPr>
            <w:tcW w:type="dxa" w:w="1361"/>
            <w:tcMar>
              <w:top w:type="dxa" w:w="90"/>
              <w:left w:type="dxa" w:w="120"/>
              <w:bottom w:type="dxa" w:w="90"/>
              <w:right w:type="dxa" w:w="120"/>
            </w:tcMar>
          </w:tcPr>
          <w:p>
            <w:pPr>
              <w:spacing w:line="260" w:lineRule="auto"/>
              <w:jc w:val="right"/>
            </w:pPr>
            <w:r>
              <w:rPr>
                <w:b w:val="false"/>
                <w:bCs w:val="false"/>
                <w:color w:val="1F2D3D"/>
                <w:sz w:val="20"/>
                <w:szCs w:val="20"/>
                <w:rFonts w:ascii="Inter" w:cs="Inter" w:eastAsia="Inter" w:hAnsi="Inter"/>
              </w:rPr>
              <w:t xml:space="preserve">1</w:t>
            </w:r>
          </w:p>
        </w:tc>
        <w:tc>
          <w:tcPr>
            <w:tcW w:type="dxa" w:w="1531"/>
            <w:tcMar>
              <w:top w:type="dxa" w:w="90"/>
              <w:left w:type="dxa" w:w="120"/>
              <w:bottom w:type="dxa" w:w="90"/>
              <w:right w:type="dxa" w:w="120"/>
            </w:tcMar>
          </w:tcPr>
          <w:p>
            <w:pPr>
              <w:spacing w:line="260" w:lineRule="auto"/>
              <w:jc w:val="right"/>
            </w:pPr>
            <w:r>
              <w:rPr>
                <w:b w:val="false"/>
                <w:bCs w:val="false"/>
                <w:color w:val="1F2D3D"/>
                <w:sz w:val="20"/>
                <w:szCs w:val="20"/>
                <w:rFonts w:ascii="Inter" w:cs="Inter" w:eastAsia="Inter" w:hAnsi="Inter"/>
              </w:rPr>
              <w:t xml:space="preserve">12 months</w:t>
            </w:r>
          </w:p>
        </w:tc>
        <w:tc>
          <w:tcPr>
            <w:tcW w:type="dxa" w:w="2210"/>
            <w:tcMar>
              <w:top w:type="dxa" w:w="90"/>
              <w:left w:type="dxa" w:w="120"/>
              <w:bottom w:type="dxa" w:w="90"/>
              <w:right w:type="dxa" w:w="120"/>
            </w:tcMar>
          </w:tcPr>
          <w:p>
            <w:pPr>
              <w:spacing w:line="260" w:lineRule="auto"/>
              <w:jc w:val="right"/>
            </w:pPr>
            <w:r>
              <w:rPr>
                <w:b w:val="false"/>
                <w:bCs w:val="false"/>
                <w:color w:val="1F2D3D"/>
                <w:sz w:val="20"/>
                <w:szCs w:val="20"/>
                <w:rFonts w:ascii="Inter" w:cs="Inter" w:eastAsia="Inter" w:hAnsi="Inter"/>
              </w:rPr>
              <w:t xml:space="preserve">$114,000.00</w:t>
            </w:r>
          </w:p>
        </w:tc>
      </w:tr>
      <w:tr>
        <w:trPr>
          <w:cantSplit/>
        </w:trPr>
        <w:tc>
          <w:tcPr>
            <w:tcW w:type="dxa" w:w="3402"/>
            <w:shd w:fill="0A2540" w:color="auto" w:val="clear"/>
            <w:tcMar>
              <w:top w:type="dxa" w:w="90"/>
              <w:left w:type="dxa" w:w="120"/>
              <w:bottom w:type="dxa" w:w="90"/>
              <w:right w:type="dxa" w:w="120"/>
            </w:tcMar>
          </w:tcPr>
          <w:p>
            <w:pPr>
              <w:spacing w:line="260" w:lineRule="auto"/>
              <w:jc w:val="left"/>
            </w:pPr>
            <w:r>
              <w:rPr>
                <w:b/>
                <w:bCs/>
                <w:color w:val="FFFFFF"/>
                <w:sz w:val="26"/>
                <w:szCs w:val="26"/>
                <w:rFonts w:ascii="Inter" w:cs="Inter" w:eastAsia="Inter" w:hAnsi="Inter"/>
              </w:rPr>
              <w:t xml:space="preserve">Total, 12 months</w:t>
            </w:r>
          </w:p>
        </w:tc>
        <w:tc>
          <w:tcPr>
            <w:tcW w:type="dxa" w:w="1361"/>
            <w:shd w:fill="0A2540" w:color="auto" w:val="clear"/>
            <w:tcMar>
              <w:top w:type="dxa" w:w="90"/>
              <w:left w:type="dxa" w:w="120"/>
              <w:bottom w:type="dxa" w:w="90"/>
              <w:right w:type="dxa" w:w="120"/>
            </w:tcMar>
          </w:tcPr>
          <w:p>
            <w:pPr>
              <w:spacing w:line="260" w:lineRule="auto"/>
              <w:jc w:val="left"/>
            </w:pPr>
            <w:r>
              <w:rPr>
                <w:b w:val="false"/>
                <w:bCs w:val="false"/>
                <w:color w:val="1F2D3D"/>
                <w:sz w:val="20"/>
                <w:szCs w:val="20"/>
                <w:rFonts w:ascii="Inter" w:cs="Inter" w:eastAsia="Inter" w:hAnsi="Inter"/>
              </w:rPr>
              <w:t xml:space="preserve"/>
            </w:r>
          </w:p>
        </w:tc>
        <w:tc>
          <w:tcPr>
            <w:tcW w:type="dxa" w:w="1531"/>
            <w:shd w:fill="0A2540" w:color="auto" w:val="clear"/>
            <w:tcMar>
              <w:top w:type="dxa" w:w="90"/>
              <w:left w:type="dxa" w:w="120"/>
              <w:bottom w:type="dxa" w:w="90"/>
              <w:right w:type="dxa" w:w="120"/>
            </w:tcMar>
          </w:tcPr>
          <w:p>
            <w:pPr>
              <w:spacing w:line="260" w:lineRule="auto"/>
              <w:jc w:val="left"/>
            </w:pPr>
            <w:r>
              <w:rPr>
                <w:b w:val="false"/>
                <w:bCs w:val="false"/>
                <w:color w:val="1F2D3D"/>
                <w:sz w:val="20"/>
                <w:szCs w:val="20"/>
                <w:rFonts w:ascii="Inter" w:cs="Inter" w:eastAsia="Inter" w:hAnsi="Inter"/>
              </w:rPr>
              <w:t xml:space="preserve"/>
            </w:r>
          </w:p>
        </w:tc>
        <w:tc>
          <w:tcPr>
            <w:tcW w:type="dxa" w:w="2210"/>
            <w:shd w:fill="0A2540" w:color="auto" w:val="clear"/>
            <w:tcMar>
              <w:top w:type="dxa" w:w="90"/>
              <w:left w:type="dxa" w:w="120"/>
              <w:bottom w:type="dxa" w:w="90"/>
              <w:right w:type="dxa" w:w="120"/>
            </w:tcMar>
          </w:tcPr>
          <w:p>
            <w:pPr>
              <w:spacing w:line="260" w:lineRule="auto"/>
              <w:jc w:val="right"/>
            </w:pPr>
            <w:r>
              <w:rPr>
                <w:b/>
                <w:bCs/>
                <w:color w:val="FFFFFF"/>
                <w:sz w:val="26"/>
                <w:szCs w:val="26"/>
                <w:rFonts w:ascii="Inter" w:cs="Inter" w:eastAsia="Inter" w:hAnsi="Inter"/>
              </w:rPr>
              <w:t xml:space="preserve">$150,000.00</w:t>
            </w:r>
          </w:p>
        </w:tc>
      </w:tr>
    </w:tbl>
    <w:p>
      <w:pPr>
        <w:spacing w:before="200" w:after="160" w:line="260" w:lineRule="auto"/>
      </w:pPr>
      <w:r>
        <w:rPr>
          <w:i/>
          <w:iCs/>
          <w:color w:val="5B7186"/>
          <w:sz w:val="17"/>
          <w:szCs w:val="17"/>
          <w:rFonts w:ascii="Inter" w:cs="Inter" w:eastAsia="Inter" w:hAnsi="Inter"/>
        </w:rPr>
        <w:t xml:space="preserve">Amounts in US dollars, exclusive of tax. The database computed every figure in this table from the catalogue. No amount here was written by a model.</w:t>
      </w:r>
    </w:p>
    <w:p>
      <w:pPr>
        <w:pStyle w:val="Heading1"/>
        <w:keepNext/>
        <w:keepLines/>
        <w:spacing w:before="400" w:after="160" w:line="260" w:lineRule="auto"/>
      </w:pPr>
      <w:r>
        <w:rPr>
          <w:b/>
          <w:bCs/>
          <w:color w:val="0A2540"/>
          <w:sz w:val="28"/>
          <w:szCs w:val="28"/>
          <w:rFonts w:ascii="Inter" w:cs="Inter" w:eastAsia="Inter" w:hAnsi="Inter"/>
        </w:rPr>
        <w:t xml:space="preserve">The first move</w:t>
      </w:r>
    </w:p>
    <w:p>
      <w:pPr>
        <w:widowControl/>
        <w:spacing w:after="140" w:line="290" w:lineRule="auto"/>
      </w:pPr>
      <w:r>
        <w:rPr>
          <w:i w:val="false"/>
          <w:iCs w:val="false"/>
          <w:color w:val="1F2D3D"/>
          <w:sz w:val="21"/>
          <w:szCs w:val="21"/>
          <w:rFonts w:ascii="Inter" w:cs="Inter" w:eastAsia="Inter" w:hAnsi="Inter"/>
        </w:rPr>
        <w:t xml:space="preserve">Run the calibration programme to measure broker loyalty and closing speed. Agree the burning platform: brokers will not champion a lender who competes with them.</w:t>
      </w:r>
    </w:p>
    <w:p>
      <w:pPr>
        <w:pStyle w:val="Heading1"/>
        <w:keepNext/>
        <w:keepLines/>
        <w:spacing w:before="400" w:after="160" w:line="260" w:lineRule="auto"/>
      </w:pPr>
      <w:r>
        <w:rPr>
          <w:b/>
          <w:bCs/>
          <w:color w:val="0A2540"/>
          <w:sz w:val="28"/>
          <w:szCs w:val="28"/>
          <w:rFonts w:ascii="Inter" w:cs="Inter" w:eastAsia="Inter" w:hAnsi="Inter"/>
        </w:rPr>
        <w:t xml:space="preserve">What we are assuming</w:t>
      </w:r>
    </w:p>
    <w:p>
      <w:pPr>
        <w:pStyle w:val="ListParagraph"/>
        <w:widowControl/>
        <w:numPr>
          <w:ilvl w:val="0"/>
          <w:numId w:val="2"/>
        </w:numPr>
        <w:spacing w:after="90" w:line="285" w:lineRule="auto"/>
      </w:pPr>
      <w:r>
        <w:rPr>
          <w:color w:val="1F2D3D"/>
          <w:sz w:val="21"/>
          <w:szCs w:val="21"/>
          <w:rFonts w:ascii="Inter" w:cs="Inter" w:eastAsia="Inter" w:hAnsi="Inter"/>
        </w:rPr>
        <w:t xml:space="preserve">No parameters have been calibrated for UWM yet. All numbers are category proxies or UWM’s own figures.</w:t>
      </w:r>
    </w:p>
    <w:p>
      <w:pPr>
        <w:pStyle w:val="ListParagraph"/>
        <w:widowControl/>
        <w:numPr>
          <w:ilvl w:val="0"/>
          <w:numId w:val="2"/>
        </w:numPr>
        <w:spacing w:after="90" w:line="285" w:lineRule="auto"/>
      </w:pPr>
      <w:r>
        <w:rPr>
          <w:color w:val="1F2D3D"/>
          <w:sz w:val="21"/>
          <w:szCs w:val="21"/>
          <w:rFonts w:ascii="Inter" w:cs="Inter" w:eastAsia="Inter" w:hAnsi="Inter"/>
        </w:rPr>
        <w:t xml:space="preserve">UWM’s refusal of direct-to-consumer activation is non-negotiable.</w:t>
      </w:r>
    </w:p>
    <w:p>
      <w:pPr>
        <w:pStyle w:val="ListParagraph"/>
        <w:widowControl/>
        <w:numPr>
          <w:ilvl w:val="0"/>
          <w:numId w:val="2"/>
        </w:numPr>
        <w:spacing w:after="90" w:line="285" w:lineRule="auto"/>
      </w:pPr>
      <w:r>
        <w:rPr>
          <w:color w:val="1F2D3D"/>
          <w:sz w:val="21"/>
          <w:szCs w:val="21"/>
          <w:rFonts w:ascii="Inter" w:cs="Inter" w:eastAsia="Inter" w:hAnsi="Inter"/>
        </w:rPr>
        <w:t xml:space="preserve">Brokers are the only channel to reach 95% of out-of-market buyers without violating UWM’s wholesale-only strategy.</w:t>
      </w:r>
    </w:p>
    <w:p>
      <w:pPr>
        <w:pStyle w:val="Heading1"/>
        <w:keepNext/>
        <w:keepLines/>
        <w:spacing w:before="400" w:after="160" w:line="260" w:lineRule="auto"/>
      </w:pPr>
      <w:r>
        <w:rPr>
          <w:b/>
          <w:bCs/>
          <w:color w:val="0A2540"/>
          <w:sz w:val="28"/>
          <w:szCs w:val="28"/>
          <w:rFonts w:ascii="Inter" w:cs="Inter" w:eastAsia="Inter" w:hAnsi="Inter"/>
        </w:rPr>
        <w:t xml:space="preserve">Risks we can see</w:t>
      </w:r>
    </w:p>
    <w:p>
      <w:pPr>
        <w:pStyle w:val="ListParagraph"/>
        <w:widowControl/>
        <w:numPr>
          <w:ilvl w:val="0"/>
          <w:numId w:val="2"/>
        </w:numPr>
        <w:spacing w:after="90" w:line="285" w:lineRule="auto"/>
      </w:pPr>
      <w:r>
        <w:rPr>
          <w:color w:val="1F2D3D"/>
          <w:sz w:val="21"/>
          <w:szCs w:val="21"/>
          <w:rFonts w:ascii="Inter" w:cs="Inter" w:eastAsia="Inter" w:hAnsi="Inter"/>
        </w:rPr>
        <w:t xml:space="preserve">Brokers may not adopt the white-label platform if they perceive it as a threat to their brand.</w:t>
      </w:r>
    </w:p>
    <w:p>
      <w:pPr>
        <w:pStyle w:val="ListParagraph"/>
        <w:widowControl/>
        <w:numPr>
          <w:ilvl w:val="0"/>
          <w:numId w:val="2"/>
        </w:numPr>
        <w:spacing w:after="90" w:line="285" w:lineRule="auto"/>
      </w:pPr>
      <w:r>
        <w:rPr>
          <w:color w:val="1F2D3D"/>
          <w:sz w:val="21"/>
          <w:szCs w:val="21"/>
          <w:rFonts w:ascii="Inter" w:cs="Inter" w:eastAsia="Inter" w:hAnsi="Inter"/>
        </w:rPr>
        <w:t xml:space="preserve">Competing lenders could copy UWM’s wholesale-only commitment, eroding its differentiation.</w:t>
      </w:r>
    </w:p>
    <w:p>
      <w:r>
        <w:br w:type="page"/>
      </w:r>
    </w:p>
    <w:p>
      <w:pPr>
        <w:pStyle w:val="Heading1"/>
        <w:keepNext/>
        <w:keepLines/>
        <w:spacing w:before="400" w:after="160" w:line="260" w:lineRule="auto"/>
      </w:pPr>
      <w:r>
        <w:rPr>
          <w:b/>
          <w:bCs/>
          <w:color w:val="0A2540"/>
          <w:sz w:val="28"/>
          <w:szCs w:val="28"/>
          <w:rFonts w:ascii="Inter" w:cs="Inter" w:eastAsia="Inter" w:hAnsi="Inter"/>
        </w:rPr>
        <w:t xml:space="preserve">The record of this document</w:t>
      </w:r>
    </w:p>
    <w:p>
      <w:pPr>
        <w:widowControl/>
        <w:spacing w:after="140" w:line="290" w:lineRule="auto"/>
      </w:pPr>
      <w:r>
        <w:rPr>
          <w:i w:val="false"/>
          <w:iCs w:val="false"/>
          <w:color w:val="5B7186"/>
          <w:sz w:val="21"/>
          <w:szCs w:val="21"/>
          <w:rFonts w:ascii="Inter" w:cs="Inter" w:eastAsia="Inter" w:hAnsi="Inter"/>
        </w:rPr>
        <w:t xml:space="preserve">An internal page. KEN wrote the argument, the database priced it, and everything below can be checked against the record. Remove this page before the proposal is sent.</w:t>
      </w:r>
    </w:p>
    <w:tbl>
      <w:tblPr>
        <w:tblW w:type="dxa" w:w="8504"/>
        <w:tblBorders>
          <w:top w:val="single" w:color="D5E6F2" w:sz="2"/>
          <w:left w:val="none"/>
          <w:bottom w:val="single" w:color="D5E6F2" w:sz="2"/>
          <w:right w:val="none"/>
          <w:insideH w:val="single" w:color="D5E6F2" w:sz="2"/>
          <w:insideV w:val="none"/>
        </w:tblBorders>
        <w:tblCellMar>
          <w:top w:type="dxa" w:w="90"/>
          <w:left w:type="dxa" w:w="120"/>
          <w:bottom w:type="dxa" w:w="90"/>
          <w:right w:type="dxa" w:w="120"/>
        </w:tblCellMar>
      </w:tblPr>
      <w:tblGrid>
        <w:gridCol w:w="2721"/>
        <w:gridCol w:w="5783"/>
      </w:tblGrid>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18"/>
                <w:szCs w:val="18"/>
                <w:rFonts w:ascii="Inter" w:cs="Inter" w:eastAsia="Inter" w:hAnsi="Inter"/>
              </w:rPr>
              <w:t xml:space="preserve">Written by</w:t>
            </w:r>
          </w:p>
        </w:tc>
        <w:tc>
          <w:tcPr>
            <w:tcW w:type="dxa" w:w="5783"/>
            <w:tcMar>
              <w:top w:type="dxa" w:w="90"/>
              <w:left w:type="dxa" w:w="120"/>
              <w:bottom w:type="dxa" w:w="90"/>
              <w:right w:type="dxa" w:w="120"/>
            </w:tcMar>
          </w:tcPr>
          <w:p>
            <w:pPr>
              <w:spacing w:line="260" w:lineRule="auto"/>
              <w:jc w:val="left"/>
            </w:pPr>
            <w:r>
              <w:rPr>
                <w:b w:val="false"/>
                <w:bCs w:val="false"/>
                <w:color w:val="1F2D3D"/>
                <w:sz w:val="18"/>
                <w:szCs w:val="18"/>
                <w:rFonts w:ascii="Inter" w:cs="Inter" w:eastAsia="Inter" w:hAnsi="Inter"/>
              </w:rPr>
              <w:t xml:space="preserve">Proposal Writer, run 40b8776f</w:t>
            </w:r>
          </w:p>
        </w:tc>
      </w:tr>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18"/>
                <w:szCs w:val="18"/>
                <w:rFonts w:ascii="Inter" w:cs="Inter" w:eastAsia="Inter" w:hAnsi="Inter"/>
              </w:rPr>
              <w:t xml:space="preserve">Task type</w:t>
            </w:r>
          </w:p>
        </w:tc>
        <w:tc>
          <w:tcPr>
            <w:tcW w:type="dxa" w:w="5783"/>
            <w:tcMar>
              <w:top w:type="dxa" w:w="90"/>
              <w:left w:type="dxa" w:w="120"/>
              <w:bottom w:type="dxa" w:w="90"/>
              <w:right w:type="dxa" w:w="120"/>
            </w:tcMar>
          </w:tcPr>
          <w:p>
            <w:pPr>
              <w:spacing w:line="260" w:lineRule="auto"/>
              <w:jc w:val="left"/>
            </w:pPr>
            <w:r>
              <w:rPr>
                <w:b w:val="false"/>
                <w:bCs w:val="false"/>
                <w:color w:val="1F2D3D"/>
                <w:sz w:val="18"/>
                <w:szCs w:val="18"/>
                <w:rFonts w:ascii="Inter" w:cs="Inter" w:eastAsia="Inter" w:hAnsi="Inter"/>
              </w:rPr>
              <w:t xml:space="preserve">TT-REV-PROPOSAL-ENT</w:t>
            </w:r>
          </w:p>
        </w:tc>
      </w:tr>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18"/>
                <w:szCs w:val="18"/>
                <w:rFonts w:ascii="Inter" w:cs="Inter" w:eastAsia="Inter" w:hAnsi="Inter"/>
              </w:rPr>
              <w:t xml:space="preserve">Model</w:t>
            </w:r>
          </w:p>
        </w:tc>
        <w:tc>
          <w:tcPr>
            <w:tcW w:type="dxa" w:w="5783"/>
            <w:tcMar>
              <w:top w:type="dxa" w:w="90"/>
              <w:left w:type="dxa" w:w="120"/>
              <w:bottom w:type="dxa" w:w="90"/>
              <w:right w:type="dxa" w:w="120"/>
            </w:tcMar>
          </w:tcPr>
          <w:p>
            <w:pPr>
              <w:spacing w:line="260" w:lineRule="auto"/>
              <w:jc w:val="left"/>
            </w:pPr>
            <w:r>
              <w:rPr>
                <w:b w:val="false"/>
                <w:bCs w:val="false"/>
                <w:color w:val="1F2D3D"/>
                <w:sz w:val="18"/>
                <w:szCs w:val="18"/>
                <w:rFonts w:ascii="Inter" w:cs="Inter" w:eastAsia="Inter" w:hAnsi="Inter"/>
              </w:rPr>
              <w:t xml:space="preserve">llm4:mistral-large-latest</w:t>
            </w:r>
          </w:p>
        </w:tc>
      </w:tr>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18"/>
                <w:szCs w:val="18"/>
                <w:rFonts w:ascii="Inter" w:cs="Inter" w:eastAsia="Inter" w:hAnsi="Inter"/>
              </w:rPr>
              <w:t xml:space="preserve">Grounded in</w:t>
            </w:r>
          </w:p>
        </w:tc>
        <w:tc>
          <w:tcPr>
            <w:tcW w:type="dxa" w:w="5783"/>
            <w:tcMar>
              <w:top w:type="dxa" w:w="90"/>
              <w:left w:type="dxa" w:w="120"/>
              <w:bottom w:type="dxa" w:w="90"/>
              <w:right w:type="dxa" w:w="120"/>
            </w:tcMar>
          </w:tcPr>
          <w:p>
            <w:pPr>
              <w:spacing w:line="260" w:lineRule="auto"/>
              <w:jc w:val="left"/>
            </w:pPr>
            <w:r>
              <w:rPr>
                <w:b w:val="false"/>
                <w:bCs w:val="false"/>
                <w:color w:val="1F2D3D"/>
                <w:sz w:val="18"/>
                <w:szCs w:val="18"/>
                <w:rFonts w:ascii="Inter" w:cs="Inter" w:eastAsia="Inter" w:hAnsi="Inter"/>
              </w:rPr>
              <w:t xml:space="preserve">United Wholesale Mortgage</w:t>
            </w:r>
          </w:p>
        </w:tc>
      </w:tr>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18"/>
                <w:szCs w:val="18"/>
                <w:rFonts w:ascii="Inter" w:cs="Inter" w:eastAsia="Inter" w:hAnsi="Inter"/>
              </w:rPr>
              <w:t xml:space="preserve">Opportunity</w:t>
            </w:r>
          </w:p>
        </w:tc>
        <w:tc>
          <w:tcPr>
            <w:tcW w:type="dxa" w:w="5783"/>
            <w:tcMar>
              <w:top w:type="dxa" w:w="90"/>
              <w:left w:type="dxa" w:w="120"/>
              <w:bottom w:type="dxa" w:w="90"/>
              <w:right w:type="dxa" w:w="120"/>
            </w:tcMar>
          </w:tcPr>
          <w:p>
            <w:pPr>
              <w:spacing w:line="260" w:lineRule="auto"/>
              <w:jc w:val="left"/>
            </w:pPr>
            <w:r>
              <w:rPr>
                <w:b w:val="false"/>
                <w:bCs w:val="false"/>
                <w:color w:val="1F2D3D"/>
                <w:sz w:val="18"/>
                <w:szCs w:val="18"/>
                <w:rFonts w:ascii="Inter" w:cs="Inter" w:eastAsia="Inter" w:hAnsi="Inter"/>
              </w:rPr>
              <w:t xml:space="preserve">Broker-first brand engine, expected close 2026-09-30</w:t>
            </w:r>
          </w:p>
        </w:tc>
      </w:tr>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18"/>
                <w:szCs w:val="18"/>
                <w:rFonts w:ascii="Inter" w:cs="Inter" w:eastAsia="Inter" w:hAnsi="Inter"/>
              </w:rPr>
              <w:t xml:space="preserve">Price origin</w:t>
            </w:r>
          </w:p>
        </w:tc>
        <w:tc>
          <w:tcPr>
            <w:tcW w:type="dxa" w:w="5783"/>
            <w:tcMar>
              <w:top w:type="dxa" w:w="90"/>
              <w:left w:type="dxa" w:w="120"/>
              <w:bottom w:type="dxa" w:w="90"/>
              <w:right w:type="dxa" w:w="120"/>
            </w:tcMar>
          </w:tcPr>
          <w:p>
            <w:pPr>
              <w:spacing w:line="260" w:lineRule="auto"/>
              <w:jc w:val="left"/>
            </w:pPr>
            <w:r>
              <w:rPr>
                <w:b w:val="false"/>
                <w:bCs w:val="false"/>
                <w:color w:val="1F2D3D"/>
                <w:sz w:val="18"/>
                <w:szCs w:val="18"/>
                <w:rFonts w:ascii="Inter" w:cs="Inter" w:eastAsia="Inter" w:hAnsi="Inter"/>
              </w:rPr>
              <w:t xml:space="preserve">assumption</w:t>
            </w:r>
          </w:p>
        </w:tc>
      </w:tr>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18"/>
                <w:szCs w:val="18"/>
                <w:rFonts w:ascii="Inter" w:cs="Inter" w:eastAsia="Inter" w:hAnsi="Inter"/>
              </w:rPr>
              <w:t xml:space="preserve">Price basis</w:t>
            </w:r>
          </w:p>
        </w:tc>
        <w:tc>
          <w:tcPr>
            <w:tcW w:type="dxa" w:w="5783"/>
            <w:tcMar>
              <w:top w:type="dxa" w:w="90"/>
              <w:left w:type="dxa" w:w="120"/>
              <w:bottom w:type="dxa" w:w="90"/>
              <w:right w:type="dxa" w:w="120"/>
            </w:tcMar>
          </w:tcPr>
          <w:p>
            <w:pPr>
              <w:spacing w:line="260" w:lineRule="auto"/>
              <w:jc w:val="left"/>
            </w:pPr>
            <w:r>
              <w:rPr>
                <w:b w:val="false"/>
                <w:bCs w:val="false"/>
                <w:color w:val="1F2D3D"/>
                <w:sz w:val="18"/>
                <w:szCs w:val="18"/>
                <w:rFonts w:ascii="Inter" w:cs="Inter" w:eastAsia="Inter" w:hAnsi="Inter"/>
              </w:rPr>
              <w:t xml:space="preserve">No rate card exists in the estate. Searched public.house_doctrine on pricing, fees, retainer and rate card across 523 beliefs and found none. Ash sets these figures; until he does they are indicative and the proposal says so.</w:t>
            </w:r>
          </w:p>
        </w:tc>
      </w:tr>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18"/>
                <w:szCs w:val="18"/>
                <w:rFonts w:ascii="Inter" w:cs="Inter" w:eastAsia="Inter" w:hAnsi="Inter"/>
              </w:rPr>
              <w:t xml:space="preserve">Doctrine applied</w:t>
            </w:r>
          </w:p>
        </w:tc>
        <w:tc>
          <w:tcPr>
            <w:tcW w:type="dxa" w:w="5783"/>
            <w:tcMar>
              <w:top w:type="dxa" w:w="90"/>
              <w:left w:type="dxa" w:w="120"/>
              <w:bottom w:type="dxa" w:w="90"/>
              <w:right w:type="dxa" w:w="120"/>
            </w:tcMar>
          </w:tcPr>
          <w:p>
            <w:pPr>
              <w:spacing w:line="260" w:lineRule="auto"/>
              <w:jc w:val="left"/>
            </w:pPr>
            <w:r>
              <w:rPr>
                <w:b w:val="false"/>
                <w:bCs w:val="false"/>
                <w:color w:val="1F2D3D"/>
                <w:sz w:val="18"/>
                <w:szCs w:val="18"/>
                <w:rFonts w:ascii="Inter" w:cs="Inter" w:eastAsia="Inter" w:hAnsi="Inter"/>
              </w:rPr>
              <w:t xml:space="preserve">DISCOUNT_CEILING applied: discount requested 0 per cent against a ceiling of 15 per cent, accepted.</w:t>
            </w:r>
          </w:p>
        </w:tc>
      </w:tr>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18"/>
                <w:szCs w:val="18"/>
                <w:rFonts w:ascii="Inter" w:cs="Inter" w:eastAsia="Inter" w:hAnsi="Inter"/>
              </w:rPr>
              <w:t xml:space="preserve">Machine identifiers the run wrote and this renderer removed</w:t>
            </w:r>
          </w:p>
        </w:tc>
        <w:tc>
          <w:tcPr>
            <w:tcW w:type="dxa" w:w="5783"/>
            <w:tcMar>
              <w:top w:type="dxa" w:w="90"/>
              <w:left w:type="dxa" w:w="120"/>
              <w:bottom w:type="dxa" w:w="90"/>
              <w:right w:type="dxa" w:w="120"/>
            </w:tcMar>
          </w:tcPr>
          <w:p>
            <w:pPr>
              <w:spacing w:line="260" w:lineRule="auto"/>
              <w:jc w:val="left"/>
            </w:pPr>
            <w:r>
              <w:rPr>
                <w:b w:val="false"/>
                <w:bCs w:val="false"/>
                <w:color w:val="1F2D3D"/>
                <w:sz w:val="18"/>
                <w:szCs w:val="18"/>
                <w:rFonts w:ascii="Inter" w:cs="Inter" w:eastAsia="Inter" w:hAnsi="Inter"/>
              </w:rPr>
              <w:t xml:space="preserve">9 occurrences of 5, listed against this proposal in the database</w:t>
            </w:r>
          </w:p>
        </w:tc>
      </w:tr>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18"/>
                <w:szCs w:val="18"/>
                <w:rFonts w:ascii="Inter" w:cs="Inter" w:eastAsia="Inter" w:hAnsi="Inter"/>
              </w:rPr>
              <w:t xml:space="preserve">Renderer</w:t>
            </w:r>
          </w:p>
        </w:tc>
        <w:tc>
          <w:tcPr>
            <w:tcW w:type="dxa" w:w="5783"/>
            <w:tcMar>
              <w:top w:type="dxa" w:w="90"/>
              <w:left w:type="dxa" w:w="120"/>
              <w:bottom w:type="dxa" w:w="90"/>
              <w:right w:type="dxa" w:w="120"/>
            </w:tcMar>
          </w:tcPr>
          <w:p>
            <w:pPr>
              <w:spacing w:line="260" w:lineRule="auto"/>
              <w:jc w:val="left"/>
            </w:pPr>
            <w:r>
              <w:rPr>
                <w:b w:val="false"/>
                <w:bCs w:val="false"/>
                <w:color w:val="1F2D3D"/>
                <w:sz w:val="18"/>
                <w:szCs w:val="18"/>
                <w:rFonts w:ascii="Inter" w:cs="Inter" w:eastAsia="Inter" w:hAnsi="Inter"/>
              </w:rPr>
              <w:t xml:space="preserve">RENDER-PROPOSAL-01 v1.3.0, ideacel palette. Set in Inter where the reader has it, otherwise their default sans serif.</w:t>
            </w:r>
          </w:p>
        </w:tc>
      </w:tr>
    </w:tbl>
    <w:sectPr>
      <w:footerReference w:type="default" r:id="rId6"/>
      <w:pgSz w:w="11906" w:h="16838" w:orient="portrait"/>
      <w:pgMar w:top="1417" w:right="1701" w:bottom="1417" w:left="1701"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right"/>
    </w:pPr>
    <w:r>
      <w:rPr>
        <w:color w:val="5B7186"/>
        <w:sz w:val="15"/>
        <w:szCs w:val="15"/>
        <w:rFonts w:ascii="Inter" w:cs="Inter" w:eastAsia="Inter" w:hAnsi="Inter"/>
      </w:rPr>
      <w:t xml:space="preserve">IDEACEL  ·  PROP-40b8776f-V1  ·  </w:t>
    </w:r>
    <w:r>
      <w:rPr>
        <w:color w:val="5B7186"/>
        <w:sz w:val="15"/>
        <w:szCs w:val="15"/>
        <w:rFonts w:ascii="Inter" w:cs="Inter" w:eastAsia="Inter" w:hAnsi="Inter"/>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03" w:hanging="288"/>
      </w:pPr>
      <w:rPr>
        <w:color w:val="1A98DA"/>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1F2D3D"/>
        <w:sz w:val="21"/>
        <w:szCs w:val="21"/>
        <w:rFonts w:ascii="Inter" w:cs="Inter" w:eastAsia="Inter" w:hAnsi="Inter"/>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keepNext/>
      <w:spacing w:before="400" w:after="160" w:line="260" w:lineRule="auto"/>
      <w:outlineLvl w:val="0"/>
    </w:pPr>
    <w:rPr>
      <w:b/>
      <w:bCs/>
      <w:color w:val="0A2540"/>
      <w:sz w:val="28"/>
      <w:szCs w:val="28"/>
      <w:rFonts w:ascii="Inter" w:cs="Inter" w:eastAsia="Inter" w:hAnsi="Inter"/>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oter" Target="footer1.xml"/><Relationship Id="rId7"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KEN for United Wholesale Mortgage: Calibrate, Commit, Champion</dc:title>
  <dc:creator>IDEACEL</dc:creator>
  <dc:description>Proposal PROP-40b8776f-V1 version 1</dc:description>
  <cp:lastModifiedBy>KEN, RENDER-PROPOSAL-01</cp:lastModifiedBy>
  <cp:revision>1</cp:revision>
  <dcterms:created xsi:type="dcterms:W3CDTF">2026-08-19T22:46:26.327Z</dcterms:created>
  <dcterms:modified xsi:type="dcterms:W3CDTF">2026-08-19T22:46:26.327Z</dcterms:modified>
</cp:coreProperties>
</file>

<file path=docProps/custom.xml><?xml version="1.0" encoding="utf-8"?>
<Properties xmlns="http://schemas.openxmlformats.org/officeDocument/2006/custom-properties" xmlns:vt="http://schemas.openxmlformats.org/officeDocument/2006/docPropsVTypes"/>
</file>