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A2540" w:color="auto" w:val="clear"/>
        <w:spacing w:after="40" w:line="320" w:lineRule="auto"/>
      </w:pPr>
      <w:r>
        <w:rPr>
          <w:b/>
          <w:bCs/>
          <w:color w:val="FFFFFF"/>
          <w:sz w:val="22"/>
          <w:szCs w:val="22"/>
          <w:rFonts w:ascii="Inter" w:cs="Inter" w:eastAsia="Inter" w:hAnsi="Inter"/>
          <w:spacing w:val="60"/>
        </w:rPr>
        <w:t xml:space="preserve">  IDEACEL  </w:t>
      </w:r>
    </w:p>
    <w:p>
      <w:pPr>
        <w:spacing w:before="360" w:after="160" w:line="240" w:lineRule="auto"/>
      </w:pPr>
      <w:r>
        <w:rPr>
          <w:b/>
          <w:bCs/>
          <w:color w:val="1A98DA"/>
          <w:sz w:val="17"/>
          <w:szCs w:val="17"/>
          <w:rFonts w:ascii="Inter" w:cs="Inter" w:eastAsia="Inter" w:hAnsi="Inter"/>
          <w:spacing w:val="40"/>
        </w:rPr>
        <w:t xml:space="preserve">PROPOSAL  ·  VERSION 1</w:t>
      </w:r>
    </w:p>
    <w:p>
      <w:pPr>
        <w:spacing w:after="160" w:line="264" w:lineRule="auto"/>
      </w:pPr>
      <w:r>
        <w:rPr>
          <w:b/>
          <w:bCs/>
          <w:color w:val="0A2540"/>
          <w:sz w:val="52"/>
          <w:szCs w:val="52"/>
          <w:rFonts w:ascii="Inter" w:cs="Inter" w:eastAsia="Inter" w:hAnsi="Inter"/>
        </w:rPr>
        <w:t xml:space="preserve">KEN Pilot: Agentic Marketing Operating System for Salesforce</w:t>
      </w:r>
    </w:p>
    <w:p>
      <w:pPr>
        <w:spacing w:after="340" w:line="280" w:lineRule="auto"/>
      </w:pPr>
      <w:r>
        <w:rPr>
          <w:color w:val="5B7186"/>
          <w:sz w:val="24"/>
          <w:szCs w:val="24"/>
          <w:rFonts w:ascii="Inter" w:cs="Inter" w:eastAsia="Inter" w:hAnsi="Inter"/>
        </w:rPr>
        <w:t xml:space="preserve">Prepared for Salesforce</w:t>
      </w:r>
    </w:p>
    <w:p>
      <w:pPr>
        <w:pBdr>
          <w:bottom w:val="single" w:color="D5E6F2" w:sz="6" w:space="6"/>
        </w:pBdr>
        <w:spacing w:after="220"/>
      </w:pPr>
    </w:p>
    <w:tbl>
      <w:tblPr>
        <w:tblW w:type="dxa" w:w="8504"/>
        <w:tblBorders>
          <w:top w:val="none"/>
          <w:left w:val="none"/>
          <w:bottom w:val="none"/>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for</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Salesforce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by</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IDEACEL</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Dated</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19 August 2026</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Term</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12 months</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Total</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$150,000.00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Reference</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PROP-028808a4-V1</w:t>
            </w:r>
          </w:p>
        </w:tc>
      </w:tr>
    </w:tbl>
    <w:p>
      <w:pPr>
        <w:spacing w:before="260" w:line="260" w:lineRule="auto"/>
      </w:pPr>
      <w:r>
        <w:rPr>
          <w:i/>
          <w:iCs/>
          <w:color w:val="5B7186"/>
          <w:sz w:val="17"/>
          <w:szCs w:val="17"/>
          <w:rFonts w:ascii="Inter" w:cs="Inter" w:eastAsia="Inter" w:hAnsi="Inter"/>
        </w:rPr>
        <w:t xml:space="preserve">Commercial in confidence. Every price in this document is indicative and carries its origin on the last page.</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offer</w:t>
      </w:r>
    </w:p>
    <w:p>
      <w:pPr>
        <w:widowControl/>
        <w:spacing w:after="140" w:line="290" w:lineRule="auto"/>
      </w:pPr>
      <w:r>
        <w:rPr>
          <w:i w:val="false"/>
          <w:iCs w:val="false"/>
          <w:color w:val="1F2D3D"/>
          <w:sz w:val="21"/>
          <w:szCs w:val="21"/>
          <w:rFonts w:ascii="Inter" w:cs="Inter" w:eastAsia="Inter" w:hAnsi="Inter"/>
        </w:rPr>
        <w:t xml:space="preserve">Salesforce, your CIOs filter every vendor through 'effortless power': does this hide complexity, or add it? KEN is the only agentic marketing operating system that removes the mental load of integration, security and scale before the first sales call. HubSpot, FY2025, spends 3130 USD millions on subscription revenue (FY2025, ir.hubspot.com) but still requires manual stitching of tools and data. KEN replaces that stitching with one calibrated system. We propose a 12-month pilot of KEN Core Licence and Calibration Programme to move your marketing to measured, agentic execution. Close by 2026-10-31, the quarter your annual cost review begins.</w:t>
      </w:r>
    </w:p>
    <w:p>
      <w:pPr>
        <w:pStyle w:val="Heading1"/>
        <w:keepNext/>
        <w:keepLines/>
        <w:spacing w:before="400" w:after="160" w:line="260" w:lineRule="auto"/>
      </w:pPr>
      <w:r>
        <w:rPr>
          <w:b/>
          <w:bCs/>
          <w:color w:val="0A2540"/>
          <w:sz w:val="28"/>
          <w:szCs w:val="28"/>
          <w:rFonts w:ascii="Inter" w:cs="Inter" w:eastAsia="Inter" w:hAnsi="Inter"/>
        </w:rPr>
        <w:t xml:space="preserve">Where you are</w:t>
      </w:r>
    </w:p>
    <w:p>
      <w:pPr>
        <w:pStyle w:val="ListParagraph"/>
        <w:widowControl/>
        <w:numPr>
          <w:ilvl w:val="0"/>
          <w:numId w:val="2"/>
        </w:numPr>
        <w:spacing w:after="90" w:line="285" w:lineRule="auto"/>
      </w:pPr>
      <w:r>
        <w:rPr>
          <w:color w:val="1F2D3D"/>
          <w:sz w:val="21"/>
          <w:szCs w:val="21"/>
          <w:rFonts w:ascii="Inter" w:cs="Inter" w:eastAsia="Inter" w:hAnsi="Inter"/>
        </w:rPr>
        <w:t xml:space="preserve">Cac payback. Your category median is 18 months (KeyBanc Capital Markets 2025 SaaS Survey), but your calibrated proxy is 15 months (calibrating). The trade does 15; you are still on the textbook.</w:t>
      </w:r>
    </w:p>
    <w:p>
      <w:pPr>
        <w:pStyle w:val="ListParagraph"/>
        <w:widowControl/>
        <w:numPr>
          <w:ilvl w:val="0"/>
          <w:numId w:val="2"/>
        </w:numPr>
        <w:spacing w:after="90" w:line="285" w:lineRule="auto"/>
      </w:pPr>
      <w:r>
        <w:rPr>
          <w:color w:val="1F2D3D"/>
          <w:sz w:val="21"/>
          <w:szCs w:val="21"/>
          <w:rFonts w:ascii="Inter" w:cs="Inter" w:eastAsia="Inter" w:hAnsi="Inter"/>
        </w:rPr>
        <w:t xml:space="preserve">Annual cost review. Q4 2026 is the quarter your annual cost review begins, cited in category entry points.</w:t>
      </w:r>
    </w:p>
    <w:p>
      <w:pPr>
        <w:pStyle w:val="ListParagraph"/>
        <w:widowControl/>
        <w:numPr>
          <w:ilvl w:val="0"/>
          <w:numId w:val="2"/>
        </w:numPr>
        <w:spacing w:after="90" w:line="285" w:lineRule="auto"/>
      </w:pPr>
      <w:r>
        <w:rPr>
          <w:color w:val="1F2D3D"/>
          <w:sz w:val="21"/>
          <w:szCs w:val="21"/>
          <w:rFonts w:ascii="Inter" w:cs="Inter" w:eastAsia="Inter" w:hAnsi="Inter"/>
        </w:rPr>
        <w:t xml:space="preserve">Current tool complexity. HubSpot, a comparable platform, spends 3130 USD millions on subscription revenue (FY2025, ir.hubspot.com) but still requires manual stitching of tools and data, adding complexity rather than hiding it.</w:t>
      </w:r>
    </w:p>
    <w:p>
      <w:pPr>
        <w:pStyle w:val="Heading1"/>
        <w:keepNext/>
        <w:keepLines/>
        <w:spacing w:before="400" w:after="160" w:line="260" w:lineRule="auto"/>
      </w:pPr>
      <w:r>
        <w:rPr>
          <w:b/>
          <w:bCs/>
          <w:color w:val="0A2540"/>
          <w:sz w:val="28"/>
          <w:szCs w:val="28"/>
          <w:rFonts w:ascii="Inter" w:cs="Inter" w:eastAsia="Inter" w:hAnsi="Inter"/>
        </w:rPr>
        <w:t xml:space="preserve">What changes</w:t>
      </w:r>
    </w:p>
    <w:p>
      <w:pPr>
        <w:pStyle w:val="ListParagraph"/>
        <w:widowControl/>
        <w:numPr>
          <w:ilvl w:val="0"/>
          <w:numId w:val="2"/>
        </w:numPr>
        <w:spacing w:after="90" w:line="285" w:lineRule="auto"/>
      </w:pPr>
      <w:r>
        <w:rPr>
          <w:color w:val="1F2D3D"/>
          <w:sz w:val="21"/>
          <w:szCs w:val="21"/>
          <w:rFonts w:ascii="Inter" w:cs="Inter" w:eastAsia="Inter" w:hAnsi="Inter"/>
        </w:rPr>
        <w:t xml:space="preserve">Mental load. KEN removes the mental load of integration, security and scale. CIOs see 'effortless power' in action.</w:t>
      </w:r>
    </w:p>
    <w:p>
      <w:pPr>
        <w:pStyle w:val="ListParagraph"/>
        <w:widowControl/>
        <w:numPr>
          <w:ilvl w:val="0"/>
          <w:numId w:val="2"/>
        </w:numPr>
        <w:spacing w:after="90" w:line="285" w:lineRule="auto"/>
      </w:pPr>
      <w:r>
        <w:rPr>
          <w:color w:val="1F2D3D"/>
          <w:sz w:val="21"/>
          <w:szCs w:val="21"/>
          <w:rFonts w:ascii="Inter" w:cs="Inter" w:eastAsia="Inter" w:hAnsi="Inter"/>
        </w:rPr>
        <w:t xml:space="preserve">Proof to board. Deliver quarterly evidence that marketing is hiding complexity, not adding it. The board sees proof of ROI, not guesses.</w:t>
      </w:r>
    </w:p>
    <w:p>
      <w:pPr>
        <w:pStyle w:val="ListParagraph"/>
        <w:widowControl/>
        <w:numPr>
          <w:ilvl w:val="0"/>
          <w:numId w:val="2"/>
        </w:numPr>
        <w:spacing w:after="90" w:line="285" w:lineRule="auto"/>
      </w:pPr>
      <w:r>
        <w:rPr>
          <w:color w:val="1F2D3D"/>
          <w:sz w:val="21"/>
          <w:szCs w:val="21"/>
          <w:rFonts w:ascii="Inter" w:cs="Inter" w:eastAsia="Inter" w:hAnsi="Inter"/>
        </w:rPr>
        <w:t xml:space="preserve">Measured execution. Move from proxy benchmarks to measured execution. Your cac payback months is 15 months (calibrating), but the system will measure it on you, not the trade.</w:t>
      </w:r>
    </w:p>
    <w:p>
      <w:pPr>
        <w:pStyle w:val="Heading1"/>
        <w:keepNext/>
        <w:keepLines/>
        <w:spacing w:before="400" w:after="160" w:line="260" w:lineRule="auto"/>
      </w:pPr>
      <w:r>
        <w:rPr>
          <w:b/>
          <w:bCs/>
          <w:color w:val="0A2540"/>
          <w:sz w:val="28"/>
          <w:szCs w:val="28"/>
          <w:rFonts w:ascii="Inter" w:cs="Inter" w:eastAsia="Inter" w:hAnsi="Inter"/>
        </w:rPr>
        <w:t xml:space="preserve">How we do it</w:t>
      </w:r>
    </w:p>
    <w:p>
      <w:pPr>
        <w:pStyle w:val="ListParagraph"/>
        <w:widowControl/>
        <w:numPr>
          <w:ilvl w:val="0"/>
          <w:numId w:val="2"/>
        </w:numPr>
        <w:spacing w:after="90" w:line="285" w:lineRule="auto"/>
      </w:pPr>
      <w:r>
        <w:rPr>
          <w:color w:val="1F2D3D"/>
          <w:sz w:val="21"/>
          <w:szCs w:val="21"/>
          <w:rFonts w:ascii="Inter" w:cs="Inter" w:eastAsia="Inter" w:hAnsi="Inter"/>
        </w:rPr>
        <w:t xml:space="preserve">Move 1. Deploy KEN Core Licence as your marketing operating system, replacing manual stitching with one calibrated system.</w:t>
      </w:r>
    </w:p>
    <w:p>
      <w:pPr>
        <w:pStyle w:val="ListParagraph"/>
        <w:widowControl/>
        <w:numPr>
          <w:ilvl w:val="0"/>
          <w:numId w:val="2"/>
        </w:numPr>
        <w:spacing w:after="90" w:line="285" w:lineRule="auto"/>
      </w:pPr>
      <w:r>
        <w:rPr>
          <w:color w:val="1F2D3D"/>
          <w:sz w:val="21"/>
          <w:szCs w:val="21"/>
          <w:rFonts w:ascii="Inter" w:cs="Inter" w:eastAsia="Inter" w:hAnsi="Inter"/>
        </w:rPr>
        <w:t xml:space="preserve">Move 2. Run Calibration Programme to measure and move every marketing law off the textbook, starting with cac payback months.</w:t>
      </w:r>
    </w:p>
    <w:p>
      <w:pPr>
        <w:pStyle w:val="ListParagraph"/>
        <w:widowControl/>
        <w:numPr>
          <w:ilvl w:val="0"/>
          <w:numId w:val="2"/>
        </w:numPr>
        <w:spacing w:after="90" w:line="285" w:lineRule="auto"/>
      </w:pPr>
      <w:r>
        <w:rPr>
          <w:color w:val="1F2D3D"/>
          <w:sz w:val="21"/>
          <w:szCs w:val="21"/>
          <w:rFonts w:ascii="Inter" w:cs="Inter" w:eastAsia="Inter" w:hAnsi="Inter"/>
        </w:rPr>
        <w:t xml:space="preserve">Move 3. Deliver quarterly evidence that the system is hiding complexity, not adding it, with the exact figures the board tracks.</w:t>
      </w:r>
    </w:p>
    <w:p>
      <w:pPr>
        <w:pStyle w:val="Heading1"/>
        <w:keepNext/>
        <w:keepLines/>
        <w:spacing w:before="400" w:after="160" w:line="260" w:lineRule="auto"/>
      </w:pPr>
      <w:r>
        <w:rPr>
          <w:b/>
          <w:bCs/>
          <w:color w:val="0A2540"/>
          <w:sz w:val="28"/>
          <w:szCs w:val="28"/>
          <w:rFonts w:ascii="Inter" w:cs="Inter" w:eastAsia="Inter" w:hAnsi="Inter"/>
        </w:rPr>
        <w:t xml:space="preserve">Why us</w:t>
      </w:r>
    </w:p>
    <w:p>
      <w:pPr>
        <w:widowControl/>
        <w:spacing w:after="140" w:line="290" w:lineRule="auto"/>
      </w:pPr>
      <w:r>
        <w:rPr>
          <w:i w:val="false"/>
          <w:iCs w:val="false"/>
          <w:color w:val="1F2D3D"/>
          <w:sz w:val="21"/>
          <w:szCs w:val="21"/>
          <w:rFonts w:ascii="Inter" w:cs="Inter" w:eastAsia="Inter" w:hAnsi="Inter"/>
        </w:rPr>
        <w:t xml:space="preserve">KEN is the only agentic marketing operating system that removes the mental load of integration, security and scale before the first sales call. Rivals sell tools; we sell a system that hides complexity by design.</w:t>
      </w:r>
    </w:p>
    <w:p>
      <w:pPr>
        <w:pStyle w:val="Heading1"/>
        <w:keepNext/>
        <w:keepLines/>
        <w:spacing w:before="400" w:after="160" w:line="260" w:lineRule="auto"/>
      </w:pPr>
      <w:r>
        <w:rPr>
          <w:b/>
          <w:bCs/>
          <w:color w:val="0A2540"/>
          <w:sz w:val="28"/>
          <w:szCs w:val="28"/>
          <w:rFonts w:ascii="Inter" w:cs="Inter" w:eastAsia="Inter" w:hAnsi="Inter"/>
        </w:rPr>
        <w:t xml:space="preserve">Commercial terms</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3402"/>
        <w:gridCol w:w="1361"/>
        <w:gridCol w:w="1531"/>
        <w:gridCol w:w="2210"/>
      </w:tblGrid>
      <w:tr>
        <w:trPr>
          <w:cantSplit/>
          <w:tblHeader/>
        </w:trPr>
        <w:tc>
          <w:tcPr>
            <w:tcW w:type="dxa" w:w="3402"/>
            <w:shd w:fill="F4FAFD" w:color="auto" w:val="clear"/>
            <w:tcMar>
              <w:top w:type="dxa" w:w="90"/>
              <w:left w:type="dxa" w:w="120"/>
              <w:bottom w:type="dxa" w:w="90"/>
              <w:right w:type="dxa" w:w="120"/>
            </w:tcMar>
          </w:tcPr>
          <w:p>
            <w:pPr>
              <w:spacing w:line="260" w:lineRule="auto"/>
              <w:jc w:val="left"/>
            </w:pPr>
            <w:r>
              <w:rPr>
                <w:b/>
                <w:bCs/>
                <w:color w:val="0A2540"/>
                <w:sz w:val="20"/>
                <w:szCs w:val="20"/>
                <w:rFonts w:ascii="Inter" w:cs="Inter" w:eastAsia="Inter" w:hAnsi="Inter"/>
              </w:rPr>
              <w:t xml:space="preserve">Item</w:t>
            </w:r>
          </w:p>
        </w:tc>
        <w:tc>
          <w:tcPr>
            <w:tcW w:type="dxa" w:w="136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Quantity</w:t>
            </w:r>
          </w:p>
        </w:tc>
        <w:tc>
          <w:tcPr>
            <w:tcW w:type="dxa" w:w="153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Term</w:t>
            </w:r>
          </w:p>
        </w:tc>
        <w:tc>
          <w:tcPr>
            <w:tcW w:type="dxa" w:w="2210"/>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Amount</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The agentic operating system. The kernel, the brain, the front door, the run ledger and the evidence rule. Hides complexity by design.</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$114,000.00</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The measurement layer. Moves every marketing law from proxy to measured on this client. Removes the mental load of guessing what works.</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$36,000.00</w:t>
            </w:r>
          </w:p>
        </w:tc>
      </w:tr>
      <w:tr>
        <w:trPr>
          <w:cantSplit/>
        </w:trPr>
        <w:tc>
          <w:tcPr>
            <w:tcW w:type="dxa" w:w="3402"/>
            <w:shd w:fill="0A2540" w:color="auto" w:val="clear"/>
            <w:tcMar>
              <w:top w:type="dxa" w:w="90"/>
              <w:left w:type="dxa" w:w="120"/>
              <w:bottom w:type="dxa" w:w="90"/>
              <w:right w:type="dxa" w:w="120"/>
            </w:tcMar>
          </w:tcPr>
          <w:p>
            <w:pPr>
              <w:spacing w:line="260" w:lineRule="auto"/>
              <w:jc w:val="left"/>
            </w:pPr>
            <w:r>
              <w:rPr>
                <w:b/>
                <w:bCs/>
                <w:color w:val="FFFFFF"/>
                <w:sz w:val="26"/>
                <w:szCs w:val="26"/>
                <w:rFonts w:ascii="Inter" w:cs="Inter" w:eastAsia="Inter" w:hAnsi="Inter"/>
              </w:rPr>
              <w:t xml:space="preserve">Total, 12 months</w:t>
            </w:r>
          </w:p>
        </w:tc>
        <w:tc>
          <w:tcPr>
            <w:tcW w:type="dxa" w:w="136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153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2210"/>
            <w:shd w:fill="0A2540" w:color="auto" w:val="clear"/>
            <w:tcMar>
              <w:top w:type="dxa" w:w="90"/>
              <w:left w:type="dxa" w:w="120"/>
              <w:bottom w:type="dxa" w:w="90"/>
              <w:right w:type="dxa" w:w="120"/>
            </w:tcMar>
          </w:tcPr>
          <w:p>
            <w:pPr>
              <w:spacing w:line="260" w:lineRule="auto"/>
              <w:jc w:val="right"/>
            </w:pPr>
            <w:r>
              <w:rPr>
                <w:b/>
                <w:bCs/>
                <w:color w:val="FFFFFF"/>
                <w:sz w:val="26"/>
                <w:szCs w:val="26"/>
                <w:rFonts w:ascii="Inter" w:cs="Inter" w:eastAsia="Inter" w:hAnsi="Inter"/>
              </w:rPr>
              <w:t xml:space="preserve">$150,000.00</w:t>
            </w:r>
          </w:p>
        </w:tc>
      </w:tr>
    </w:tbl>
    <w:p>
      <w:pPr>
        <w:spacing w:before="200" w:after="160" w:line="260" w:lineRule="auto"/>
      </w:pPr>
      <w:r>
        <w:rPr>
          <w:i/>
          <w:iCs/>
          <w:color w:val="5B7186"/>
          <w:sz w:val="17"/>
          <w:szCs w:val="17"/>
          <w:rFonts w:ascii="Inter" w:cs="Inter" w:eastAsia="Inter" w:hAnsi="Inter"/>
        </w:rPr>
        <w:t xml:space="preserve">Amounts in US dollars, exclusive of tax. The database computed every figure in this table from the catalogue. No amount here was written by a model.</w:t>
      </w:r>
    </w:p>
    <w:p>
      <w:pPr>
        <w:pStyle w:val="Heading1"/>
        <w:keepNext/>
        <w:keepLines/>
        <w:spacing w:before="400" w:after="160" w:line="260" w:lineRule="auto"/>
      </w:pPr>
      <w:r>
        <w:rPr>
          <w:b/>
          <w:bCs/>
          <w:color w:val="0A2540"/>
          <w:sz w:val="28"/>
          <w:szCs w:val="28"/>
          <w:rFonts w:ascii="Inter" w:cs="Inter" w:eastAsia="Inter" w:hAnsi="Inter"/>
        </w:rPr>
        <w:t xml:space="preserve">The first move</w:t>
      </w:r>
    </w:p>
    <w:p>
      <w:pPr>
        <w:widowControl/>
        <w:spacing w:after="140" w:line="290" w:lineRule="auto"/>
      </w:pPr>
      <w:r>
        <w:rPr>
          <w:i w:val="false"/>
          <w:iCs w:val="false"/>
          <w:color w:val="1F2D3D"/>
          <w:sz w:val="21"/>
          <w:szCs w:val="21"/>
          <w:rFonts w:ascii="Inter" w:cs="Inter" w:eastAsia="Inter" w:hAnsi="Inter"/>
        </w:rPr>
        <w:t xml:space="preserve">Sign the proposal by 2026-10-31. We will deploy KEN Core Licence and begin Calibration Programme in the first week of November.</w:t>
      </w:r>
    </w:p>
    <w:p>
      <w:pPr>
        <w:pStyle w:val="Heading1"/>
        <w:keepNext/>
        <w:keepLines/>
        <w:spacing w:before="400" w:after="160" w:line="260" w:lineRule="auto"/>
      </w:pPr>
      <w:r>
        <w:rPr>
          <w:b/>
          <w:bCs/>
          <w:color w:val="0A2540"/>
          <w:sz w:val="28"/>
          <w:szCs w:val="28"/>
          <w:rFonts w:ascii="Inter" w:cs="Inter" w:eastAsia="Inter" w:hAnsi="Inter"/>
        </w:rPr>
        <w:t xml:space="preserve">What we are assuming</w:t>
      </w:r>
    </w:p>
    <w:p>
      <w:pPr>
        <w:pStyle w:val="ListParagraph"/>
        <w:widowControl/>
        <w:numPr>
          <w:ilvl w:val="0"/>
          <w:numId w:val="2"/>
        </w:numPr>
        <w:spacing w:after="90" w:line="285" w:lineRule="auto"/>
      </w:pPr>
      <w:r>
        <w:rPr>
          <w:color w:val="1F2D3D"/>
          <w:sz w:val="21"/>
          <w:szCs w:val="21"/>
          <w:rFonts w:ascii="Inter" w:cs="Inter" w:eastAsia="Inter" w:hAnsi="Inter"/>
        </w:rPr>
        <w:t xml:space="preserve">No rivals of this business are recorded. We cite only what the brain supplies.</w:t>
      </w:r>
    </w:p>
    <w:p>
      <w:pPr>
        <w:pStyle w:val="ListParagraph"/>
        <w:widowControl/>
        <w:numPr>
          <w:ilvl w:val="0"/>
          <w:numId w:val="2"/>
        </w:numPr>
        <w:spacing w:after="90" w:line="285" w:lineRule="auto"/>
      </w:pPr>
      <w:r>
        <w:rPr>
          <w:color w:val="1F2D3D"/>
          <w:sz w:val="21"/>
          <w:szCs w:val="21"/>
          <w:rFonts w:ascii="Inter" w:cs="Inter" w:eastAsia="Inter" w:hAnsi="Inter"/>
        </w:rPr>
        <w:t xml:space="preserve">The audience is end customer (Enterprise CIO). We write as they speak, with no strategy vocabulary.</w:t>
      </w:r>
    </w:p>
    <w:p>
      <w:pPr>
        <w:pStyle w:val="ListParagraph"/>
        <w:widowControl/>
        <w:numPr>
          <w:ilvl w:val="0"/>
          <w:numId w:val="2"/>
        </w:numPr>
        <w:spacing w:after="90" w:line="285" w:lineRule="auto"/>
      </w:pPr>
      <w:r>
        <w:rPr>
          <w:color w:val="1F2D3D"/>
          <w:sz w:val="21"/>
          <w:szCs w:val="21"/>
          <w:rFonts w:ascii="Inter" w:cs="Inter" w:eastAsia="Inter" w:hAnsi="Inter"/>
        </w:rPr>
        <w:t xml:space="preserve">The proposal serves objective (Improve lead quality) from the library.</w:t>
      </w:r>
    </w:p>
    <w:p>
      <w:pPr>
        <w:pStyle w:val="ListParagraph"/>
        <w:widowControl/>
        <w:numPr>
          <w:ilvl w:val="0"/>
          <w:numId w:val="2"/>
        </w:numPr>
        <w:spacing w:after="90" w:line="285" w:lineRule="auto"/>
      </w:pPr>
      <w:r>
        <w:rPr>
          <w:color w:val="1F2D3D"/>
          <w:sz w:val="21"/>
          <w:szCs w:val="21"/>
          <w:rFonts w:ascii="Inter" w:cs="Inter" w:eastAsia="Inter" w:hAnsi="Inter"/>
        </w:rPr>
        <w:t xml:space="preserve">House doctrine rule (transformation workshop preconditions) does not bear on this task.</w:t>
      </w:r>
    </w:p>
    <w:p>
      <w:pPr>
        <w:pStyle w:val="Heading1"/>
        <w:keepNext/>
        <w:keepLines/>
        <w:spacing w:before="400" w:after="160" w:line="260" w:lineRule="auto"/>
      </w:pPr>
      <w:r>
        <w:rPr>
          <w:b/>
          <w:bCs/>
          <w:color w:val="0A2540"/>
          <w:sz w:val="28"/>
          <w:szCs w:val="28"/>
          <w:rFonts w:ascii="Inter" w:cs="Inter" w:eastAsia="Inter" w:hAnsi="Inter"/>
        </w:rPr>
        <w:t xml:space="preserve">Risks we can see</w:t>
      </w:r>
    </w:p>
    <w:p>
      <w:pPr>
        <w:pStyle w:val="ListParagraph"/>
        <w:widowControl/>
        <w:numPr>
          <w:ilvl w:val="0"/>
          <w:numId w:val="2"/>
        </w:numPr>
        <w:spacing w:after="90" w:line="285" w:lineRule="auto"/>
      </w:pPr>
      <w:r>
        <w:rPr>
          <w:color w:val="1F2D3D"/>
          <w:sz w:val="21"/>
          <w:szCs w:val="21"/>
          <w:rFonts w:ascii="Inter" w:cs="Inter" w:eastAsia="Inter" w:hAnsi="Inter"/>
        </w:rPr>
        <w:t xml:space="preserve">Cac_payback_months is still a proxy (calibrating). The first reading will settle it, but until then we plan against the trade figure of 15 months.</w:t>
      </w:r>
    </w:p>
    <w:p>
      <w:pPr>
        <w:pStyle w:val="ListParagraph"/>
        <w:widowControl/>
        <w:numPr>
          <w:ilvl w:val="0"/>
          <w:numId w:val="2"/>
        </w:numPr>
        <w:spacing w:after="90" w:line="285" w:lineRule="auto"/>
      </w:pPr>
      <w:r>
        <w:rPr>
          <w:color w:val="1F2D3D"/>
          <w:sz w:val="21"/>
          <w:szCs w:val="21"/>
          <w:rFonts w:ascii="Inter" w:cs="Inter" w:eastAsia="Inter" w:hAnsi="Inter"/>
        </w:rPr>
        <w:t xml:space="preserve">The business may not act in Q4 2026. If the annual cost review is delayed, the 'why now' shifts to the next quarter.</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record of this document</w:t>
      </w:r>
    </w:p>
    <w:p>
      <w:pPr>
        <w:widowControl/>
        <w:spacing w:after="140" w:line="290" w:lineRule="auto"/>
      </w:pPr>
      <w:r>
        <w:rPr>
          <w:i w:val="false"/>
          <w:iCs w:val="false"/>
          <w:color w:val="5B7186"/>
          <w:sz w:val="21"/>
          <w:szCs w:val="21"/>
          <w:rFonts w:ascii="Inter" w:cs="Inter" w:eastAsia="Inter" w:hAnsi="Inter"/>
        </w:rPr>
        <w:t xml:space="preserve">An internal page. KEN wrote the argument, the database priced it, and everything below can be checked against the record. Remove this page before the proposal is sent.</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Written by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Proposal Writer, run 028808a4</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Task type</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TT-REV-PROPOSAL-ENT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Model</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llm4:mistral-large-latest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Grounded 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Salesforce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Opportunity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KEN Pilot for Salesforce Marketing Cloud, expected close 2026-10-31</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origin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assumption</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basis</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No rate card exists in the estate. Searched public.house_doctrine on pricing, fees, retainer and rate card across 523 beliefs and found none. Ash sets these figures; until he does they are indicative and the proposal says so.</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Doctrine applied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DISCOUNT_CEILING applied: discount requested 0 per cent against a ceiling of 15 per cent, accepted.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Machine identifiers the run wrote and this renderer removed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8 occurrences of 6, listed against this proposal in the database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Renderer</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RENDER-PROPOSAL-01 v1.3.0, ideacel palette. Set in Inter where the reader has it, otherwise their default sans serif.</w:t>
            </w:r>
          </w:p>
        </w:tc>
      </w:tr>
    </w:tbl>
    <w:sectPr>
      <w:footerReference w:type="default" r:id="rId6"/>
      <w:pgSz w:w="11906" w:h="16838"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5B7186"/>
        <w:sz w:val="15"/>
        <w:szCs w:val="15"/>
        <w:rFonts w:ascii="Inter" w:cs="Inter" w:eastAsia="Inter" w:hAnsi="Inter"/>
      </w:rPr>
      <w:t xml:space="preserve">IDEACEL  ·  PROP-028808a4-V1  ·  </w:t>
    </w:r>
    <w:r>
      <w:rPr>
        <w:color w:val="5B7186"/>
        <w:sz w:val="15"/>
        <w:szCs w:val="15"/>
        <w:rFonts w:ascii="Inter" w:cs="Inter" w:eastAsia="Inter" w:hAnsi="Inter"/>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88"/>
      </w:pPr>
      <w:rPr>
        <w:color w:val="1A98D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D3D"/>
        <w:sz w:val="21"/>
        <w:szCs w:val="21"/>
        <w:rFonts w:ascii="Inter" w:cs="Inter" w:eastAsia="Inter" w:hAnsi="Inter"/>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before="400" w:after="160" w:line="260" w:lineRule="auto"/>
      <w:outlineLvl w:val="0"/>
    </w:pPr>
    <w:rPr>
      <w:b/>
      <w:bCs/>
      <w:color w:val="0A2540"/>
      <w:sz w:val="28"/>
      <w:szCs w:val="28"/>
      <w:rFonts w:ascii="Inter" w:cs="Inter" w:eastAsia="Inter" w:hAnsi="Inter"/>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 Pilot: Agentic Marketing Operating System for Salesforce</dc:title>
  <dc:creator>IDEACEL</dc:creator>
  <dc:description>Proposal PROP-028808a4-V1 version 1</dc:description>
  <cp:lastModifiedBy>KEN, RENDER-PROPOSAL-01</cp:lastModifiedBy>
  <cp:revision>1</cp:revision>
  <dcterms:created xsi:type="dcterms:W3CDTF">2026-08-19T22:46:25.771Z</dcterms:created>
  <dcterms:modified xsi:type="dcterms:W3CDTF">2026-08-19T22:46:25.771Z</dcterms:modified>
</cp:coreProperties>
</file>

<file path=docProps/custom.xml><?xml version="1.0" encoding="utf-8"?>
<Properties xmlns="http://schemas.openxmlformats.org/officeDocument/2006/custom-properties" xmlns:vt="http://schemas.openxmlformats.org/officeDocument/2006/docPropsVTypes"/>
</file>